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rPr>
          <w:rFonts w:ascii="Arial" w:hAnsi="Arial" w:eastAsia="Arial" w:cs="Arial"/>
          <w:sz w:val="40"/>
          <w:szCs w:val="40"/>
          <w:b w:val="1"/>
          <w:color w:val="000000"/>
        </w:rPr>
        <w:widowControl/>
        <w:jc w:val="left"/>
        <w:pStyle w:val="Title"/>
      </w:pPr>
      <w:r>
        <w:rPr>
          <w:rFonts w:ascii="Arial" w:hAnsi="Arial" w:eastAsia="Arial" w:cs="Arial"/>
          <w:sz w:val="40"/>
          <w:szCs w:val="40"/>
          <w:b w:val="1"/>
          <w:color w:val="000000"/>
        </w:rPr>
        <w:t>Part 2 Glossary</w:t>
      </w:r>
    </w:p>
    <w:p>
      <w:pPr>
        <w:widowControl/>
        <w:rPr>
          <w:rFonts w:ascii="Arial" w:hAnsi="Arial" w:eastAsia="Arial" w:cs="Arial"/>
          <w:sz w:val="22"/>
          <w:szCs w:val="22"/>
        </w:rPr>
      </w:pPr>
      <w:r>
        <w:rPr>
          <w:rFonts w:ascii="Arial" w:hAnsi="Arial" w:eastAsia="Arial" w:cs="Arial"/>
          <w:sz w:val="22"/>
          <w:szCs w:val="22"/>
        </w:rPr>
        <w:t>Part 2 (2a-2b): Informational Architecture; Knowledge, Intelligence, and Observation | Issue 1</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232"/>
        <w:gridCol w:w="12024"/>
      </w:tblGrid>
      <w:tr>
        <w:trPr>
          <w:tblHeader w:val="1"/>
          <w:cantSplit/>
        </w:trPr>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field</w:t>
            </w:r>
          </w:p>
        </w:tc>
        <w:tc>
          <w:tcPr>
            <w:tcW w:type="dxa" w:w="72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Value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Document ID</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P2-2A2B-SD02-GLOSSARY</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Version / issue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Issue 1</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Date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2026-09-23</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Status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Final Issue 1 support release covering all ten Part 2 canonical papers, including the released Paper 1c scholarly apparatus. Secondary to canonical papers. Exact paper and support file identities are recorded in the release manifest; scholarly scope limits remain explicit.</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Supersedes</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The preceding Issue 1 copy of this support document and its earlier pre-release inputs. Immediate release input: Part 2 - Glossary - Issue 1.docx | sha16 adf2bbe201c6f4e2. Earlier source files and release history are retained. This reissue aligns support to the minimally amended Papers 2, 4a and 4c; it makes no further paper edits.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Function</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Records controlled vocabulary, canonical homes, relationship notes, and guardrails across Part 2a and Part 2b while preserving subpart-specific ownership and handoff boundaries.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Canonical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Canonical primary and extension papers govern technical definitions. Paper 1 owns the RRP architecture; Paper 1a signal; Paper 1b reference-indexed realism and closure; Paper 1c the relational index, embodiment, derived reachability, Relational Form, and propagation; Paper 2 knowledge; Paper 3 intelligence; Paper 4 observation; Paper 4a abstraction and perspective; Paper 4b scale and measurement; Paper 4c the observation-program operational envelope.</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Internal split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and Part 2b remain distinct canonical regions inside one Part-level support control. Part 2b inherits Part 2a architecture; downstream material does not retroactively redefine upstream canonical terms.</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Source-lock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Use the ten Issue 1 paper identities in 0.1 and the directional support-control chain in 0.2. Part_2_Issue_1_Support_Manifest.json distinguishes recalculated SHA-256 digests from unchanged recorded locks carried forward without byte verification. Historical predecessor locks remain evidence only. Every later saved edit requires rehashing and downstream reconciliation.</w:t>
            </w:r>
          </w:p>
        </w:tc>
      </w:tr>
      <w:tr>
        <w:trPr>
          <w:cantSplit/>
        </w:trPr>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rFonts w:ascii="Arial" w:hAnsi="Arial" w:eastAsia="Arial" w:cs="Arial"/>
                <w:sz w:val="20"/>
                <w:szCs w:val="20"/>
              </w:rPr>
              <w:t>Template rule</w:t>
            </w:r>
          </w:p>
        </w:tc>
        <w:tc>
          <w:tcPr>
            <w:tcW w:type="dxa" w:w="72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 xml:space="preserve">Retain the consolidated support schema, record IDs and GOT-SFMT-01 visual family. Preserve Paper 1c content and canonical definitions. This reconciliation updates release controls and the limited Paper 1c support alignment; it adds no external publication or independent technical definition.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0. Part-level consolidation and source discipline</w:t>
      </w:r>
    </w:p>
    <w:p>
      <w:pPr>
        <w:widowControl/>
        <w:rPr>
          <w:rFonts w:ascii="Arial" w:hAnsi="Arial" w:eastAsia="Arial" w:cs="Arial"/>
          <w:sz w:val="22"/>
          <w:szCs w:val="22"/>
        </w:rPr>
      </w:pPr>
      <w:r>
        <w:rPr>
          <w:rFonts w:ascii="Arial" w:hAnsi="Arial" w:eastAsia="Arial" w:cs="Arial"/>
          <w:sz w:val="22"/>
          <w:szCs w:val="22"/>
        </w:rPr>
        <w:t xml:space="preserve">This clean Issue 1 support reissue reconciles Part 2a and Part 2b with the completed, limited Paper 1c integrations in Papers 2, 4a and 4c. The ten-paper sequence, canonical ownership and internal split are preserved. Source-lock verification and carried-forward limits are distinguished in 0.1. This support pass makes no further primary- or extension-paper edits.</w:t>
      </w:r>
    </w:p>
    <w:p>
      <w:pPr>
        <w:widowControl/>
        <w:rPr>
          <w:rFonts w:ascii="Arial" w:hAnsi="Arial" w:eastAsia="Arial" w:cs="Arial"/>
          <w:sz w:val="22"/>
          <w:szCs w:val="22"/>
        </w:rPr>
      </w:pPr>
      <w:r>
        <w:rPr>
          <w:rFonts w:ascii="Arial" w:hAnsi="Arial" w:eastAsia="Arial" w:cs="Arial"/>
          <w:sz w:val="22"/>
          <w:szCs w:val="22"/>
        </w:rPr>
        <w:t>The Issue 1 canonical paper sequence is 1, 1a, 1b, 1c, 2, 3, 4, 4a, 4b, 4c. Paper 1c - Relational Form is an attached extension of Paper 1, placed after 1b. The Part 2b sequence remains Knowledge (2), Intelligence (3), Observation (4), Limits (4a), Scale (4b), and Operational Envelope (4c).</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0.1 Canonical source register - Issue 1 release lock</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cantSplit/>
        </w:trPr>
        <w:tc>
          <w:tcPr>
            <w:tcW w:type="dxa" w:w="15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Seq.</w:t>
            </w:r>
          </w:p>
        </w:tc>
        <w:tc>
          <w:tcPr>
            <w:tcW w:type="dxa" w:w="43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t>Released source / current and historical locks</w:t>
            </w:r>
          </w:p>
        </w:tc>
        <w:tc>
          <w:tcPr>
            <w:tcW w:type="dxa" w:w="237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paper</w:t>
            </w:r>
          </w:p>
        </w:tc>
        <w:tc>
          <w:tcPr>
            <w:tcW w:type="dxa" w:w="61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Canonical ownership / use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GOT-V1-2a-1 - Relative Reference Points - Issue 1.docx</w:t>
              <w:br/>
              <w:t>Issue 1 SHA-256 (first 16): d786d0683fca89f8</w:t>
              <w:br/>
              <w:t>Historical predecessor only: 1. Relative Reference Points P2v8.docx | sha16 36cab03f9d685afb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Relative Reference Points</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informational architecture; Relational Access Principle; RRP and RRP Set; OP, OA, OR, RAS, RSD; local locus discipline; scoped operational information for a locus.</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GOT-V1-2a-1a - From Noise Cometh Signal - Issue 1.docx</w:t>
              <w:br/>
              <w:t>Issue 1 SHA-256 (first 16): 295caad5ca395d00</w:t>
              <w:br/>
              <w:t>Historical predecessor only: 1a. From Noise Cometh Signal - P2v11.docx | sha16 dc80b50275c6ac95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From Noise Cometh Signal</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Physical pathway of availability; variation, preserved contrast, signal, channel-relative discriminability, Locus Event Horizon, signal/information separation, and ingress into OP.</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2a / Paper 1b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GOT-V1-2a-1b - Reference-Indexed Realism - Issue 1.docx</w:t>
              <w:br/>
              <w:t>Issue 1 SHA-256 (first 16): 259f3a4db7bf6aed</w:t>
              <w:br/>
              <w:t>Historical predecessor only: 1b. Reference Indexed Realism - P2v7.docx | sha16 28306cc5f13cf769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Reference-indexed realism; broad bounded-registration bridge use; ontological target, finite model, residual, access scaffold, and discipline of closure.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Part 2a / Paper 1c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GOT-V1-2a-1c - Relational Form - Issue 1.docx</w:t>
              <w:br/>
              <w:t>Issue 1 SHA-256 (first 16): 47757d7fbce15332</w:t>
              <w:br/>
              <w:t>Historical lineage: added during the Part 2 support reconciliation; the earlier Draft v3 and Apparatus working copies are superseded release inputs, not current canonical locks.</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Form</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b w:val="0"/>
                <w:sz w:val="20"/>
                <w:szCs w:val="20"/>
              </w:rPr>
              <w:t>Relational index; target and locus as local physical cuts; coupling; embodiment of OA-keyed RAS; derived Relational Reachability; Relational Form and physically supported potential; relational propagation; relation before representation. RRP Set primitives remain owned by Paper 1.</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2</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GOT-V1-2b-2 - On the Origin of Knowledge - Issue 1.docx</w:t>
              <w:br/>
              <w:t>Issue 1 SHA-256 (first 16): 1c8023254b9e9e1c</w:t>
              <w:br/>
              <w:t>Historical predecessor only: 2. On the Origin of Knowledge - P2v8.docx | sha16 22932c7f9d238909</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Knowledge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Knowledge as retained distinction; RAS as canonical minimal carrier; TK, KIP, NTK; record-status separated from truth, warrant, objectivity, and justification.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3</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GOT-V1-2b-3 - On the Origin of Intelligence - Issue 1.docx</w:t>
              <w:br/>
              <w:t>Issue 1 SHA-256 (first 16): 38f1b0e3d69c60e2</w:t>
              <w:br/>
              <w:t>Historical predecessor only: 3. On the Origin of Intelligence - P2v5.docx | sha16 30b095be2bf4bde5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Intelligence</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Intelligence as applied distinction; finite branch-space; passive/active information; passive/active intelligence; NTI; provenance, comparator, and locus discipline.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GOT-V1-2b-4 - On the Origin of Observation - Issue 1.docx</w:t>
              <w:br/>
              <w:t>Issue 1 SHA-256 (first 16): 183e222a589a6bc4</w:t>
              <w:br/>
              <w:t>Historical predecessor only: 4. On the Origin of Observation - P2v8.docx | sha16 6bf3d4081841fd63</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On the Origin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as bounded registration; OR event; RAS record; Pre-TO, TO, OIP, NTO; observer-locus, Observer, Observer Event Horizon, and record-provenance.</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4a</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GOT-V1-2b-4a - The Limits of Observation - Issue 1.docx</w:t>
              <w:br/>
              <w:t>Issue 1 SHA-256 (first 16): f99af6b8df811fa6</w:t>
              <w:br/>
              <w:t>Historical predecessor only: 4a. The Limits of Observation - P2v4.docx | sha16 6783e2a4c2434fdb</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Limits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Cut, abstraction regime, perspective, event-horizon profile, Abstraction Gap, relational uncertainty, and objectivity as disciplined correction.</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4b</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GOT-V1-2b-4b - The Scale of Observation - Issue 1.docx</w:t>
              <w:br/>
              <w:t>Issue 1 SHA-256 (first 16): 184d8bcc2ca708ea</w:t>
              <w:br/>
              <w:t>Historical predecessor only: 4b. The Scale of Observation - P2v5.docx | sha16 1113c05ac8df8cce</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Scale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Scale as stabilised comparability; magnitude, reference scale, operative scale, measurement, Scale Gap, scalar alignment, and scalar objectivity.</w:t>
            </w:r>
          </w:p>
        </w:tc>
      </w:tr>
      <w:tr>
        <w:trPr>
          <w:cantSplit/>
        </w:trPr>
        <w:tc>
          <w:tcPr>
            <w:tcW w:type="dxa" w:w="15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2b / Paper 4c</w:t>
            </w:r>
          </w:p>
        </w:tc>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GOT-V1-2b-4c - The Operational Envelope of Observation - Issue 1.docx</w:t>
              <w:br/>
              <w:t>Issue 1 SHA-256 (first 16): aa383c443babd127</w:t>
              <w:br/>
              <w:t>Historical predecessor only: 4c. The Operational Envelope of Observation - P2v9.docx | sha16 02a8f4e8d57e80d5</w:t>
            </w:r>
          </w:p>
        </w:tc>
        <w:tc>
          <w:tcPr>
            <w:tcW w:type="dxa" w:w="237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The Operational Envelope of Observation</w:t>
            </w:r>
          </w:p>
        </w:tc>
        <w:tc>
          <w:tcPr>
            <w:tcW w:type="dxa" w:w="61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Observation program and descriptor layer; OH, CH, RF, OBW, OD, OG, ODr, OL, OCx; threshold/performance separation and failure localisation.</w:t>
            </w:r>
          </w:p>
        </w:tc>
      </w:tr>
    </w:tbl>
    <w:p>
      <w:pPr>
        <w:keepNext/>
        <w:widowControl/>
        <w:spacing w:line="240" w:lineRule="auto" w:before="0" w:after="0"/>
      </w:pPr>
      <w:r>
        <w:rPr>
          <w:rFonts w:ascii="Arial" w:hAnsi="Arial" w:eastAsia="Arial" w:cs="Arial"/>
          <w:sz w:val="22"/>
        </w:rPr>
      </w:r>
    </w:p>
    <w:p>
      <w:pPr>
        <w:widowControl/>
      </w:pPr>
      <w:r>
        <w:rPr>
          <w:rFonts w:ascii="Arial" w:hAnsi="Arial" w:eastAsia="Arial" w:cs="Arial"/>
          <w:sz w:val="22"/>
        </w:rPr>
        <w:t xml:space="preserve">Source identity note: the current first-16 SHA-256 values for Paper 1c and all six Part 2b papers were recalculated from the available DOCX files, using the reissued Papers 2, 4a and 4c. Papers 1, 1a and 1b retain their recorded Issue 1 locks; their bytes and the earlier full manifests were not supplied for this reconciliation. Part_2_Issue_1_Support_Manifest.json records the verified full digests and marks those three retained locks without reconstructing missing digests. Historical predecessor locks and earlier change-log entries remain historical evidence.</w:t>
      </w:r>
    </w:p>
    <w:p>
      <w:pPr>
        <w:rPr>
          <w:rFonts w:ascii="Arial" w:hAnsi="Arial" w:eastAsia="Arial" w:cs="Arial"/>
          <w:sz w:val="22"/>
          <w:szCs w:val="22"/>
        </w:rPr>
        <w:pStyle w:val="Normal"/>
        <w:widowControl/>
        <w:spacing w:before="0" w:after="0" w:line="240" w:lineRule="auto"/>
        <w:keepNext/>
      </w:pPr>
    </w:p>
    <w:p>
      <w:pPr>
        <w:widowControl/>
      </w:pPr>
      <w:r>
        <w:rPr>
          <w:rFonts w:ascii="Arial" w:hAnsi="Arial" w:eastAsia="Arial" w:cs="Arial"/>
          <w:sz w:val="22"/>
        </w:rPr>
        <w:t>Paper 1c release alignment: the canonical Issue 1 manuscript contains 21 native endnotes, nine internal series references and six reused external works. Its direct conceptual sources are Papers 1, 1a and 1b; Part 2b references are downstream handoffs. The support stack preserves the manuscript's compositional scope and explicit evidence limits, including endnote 10 on the unsupported Plato attribution. Release identity does not establish that attribution, validate the illustrations empirically, or constitute a new external discovery audit. Bibliographic roles and limits are recorded in SD-04 as the downstream consolidation record, not as an upstream definition or hash dependency.</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0.2 Part-level support-control chain</w:t>
      </w:r>
    </w:p>
    <w:tbl>
      <w:tblPr>
        <w:tblW w:type="auto" w:w="0"/>
        <w:jc w:val="center"/>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cantSplit/>
        </w:trPr>
        <w:tc>
          <w:tcPr>
            <w:tcW w:type="dxa" w:w="1656"/>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Control ID</w:t>
            </w:r>
          </w:p>
        </w:tc>
        <w:tc>
          <w:tcPr>
            <w:tcW w:type="dxa" w:w="576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t>Released control file / source lock</w:t>
            </w:r>
          </w:p>
        </w:tc>
        <w:tc>
          <w:tcPr>
            <w:tcW w:type="dxa" w:w="691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b/>
              </w:rPr>
            </w:r>
            <w:r>
              <w:rPr>
                <w:rFonts w:ascii="Arial" w:hAnsi="Arial" w:eastAsia="Arial" w:cs="Arial"/>
                <w:sz w:val="20"/>
                <w:szCs w:val="20"/>
                <w:b/>
              </w:rPr>
              <w:t>Permitted use</w:t>
            </w:r>
          </w:p>
        </w:tc>
      </w:tr>
      <w:tr>
        <w:trPr>
          <w:cantSplit/>
        </w:trPr>
        <w:tc>
          <w:tcPr>
            <w:tcW w:type="dxa" w:w="1656"/>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P2-SD01</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t>Part 2 - Concept Compression Map - Issue 1.docx</w:t>
              <w:br/>
              <w:t>Issue 1 SHA-256 (first 16): eee99287e2cfaa10</w:t>
              <w:br/>
              <w:t>Historical predecessor only: Part 2 (2a-2b) - Informational Architecture and Knowledge Intelligence and Observation - Concept Compression Map - Issue 1.docx | sha16 55c6d7f2e885ce66</w:t>
            </w:r>
          </w:p>
        </w:tc>
        <w:tc>
          <w:tcPr>
            <w:tcW w:type="dxa" w:w="691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pPr>
            <w:r>
              <w:rPr>
                <w:rFonts w:ascii="Arial" w:hAnsi="Arial" w:eastAsia="Arial" w:cs="Arial"/>
                <w:sz w:val="20"/>
                <w:szCs w:val="20"/>
              </w:rPr>
            </w:r>
            <w:r>
              <w:rPr>
                <w:b w:val="0"/>
                <w:rFonts w:ascii="Arial" w:hAnsi="Arial" w:eastAsia="Arial" w:cs="Arial"/>
                <w:sz w:val="20"/>
                <w:szCs w:val="20"/>
              </w:rPr>
              <w:t>Part architecture compression, subdivision map, and source-discipline control. Secondary to canonical papers.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widowControl/>
        <w:rPr>
          <w:rFonts w:ascii="Arial" w:hAnsi="Arial" w:eastAsia="Arial" w:cs="Arial"/>
          <w:sz w:val="22"/>
          <w:szCs w:val="22"/>
        </w:rPr>
      </w:pPr>
      <w:r>
        <w:rPr>
          <w:rFonts w:ascii="Arial" w:hAnsi="Arial" w:eastAsia="Arial" w:cs="Arial"/>
          <w:sz w:val="22"/>
          <w:szCs w:val="22"/>
        </w:rPr>
        <w:t>Inherited Part 1 support controls remain limited to the uses already permitted by the source documents: NTC, BD, IPL, comparator/localisation discipline, and support-document template/control practice. Part 1 life-attribution classes are not imported into Part 2 statuses.</w:t>
      </w:r>
    </w:p>
    <w:p>
      <w:pPr>
        <w:widowControl/>
        <w:rPr>
          <w:rFonts w:ascii="Arial" w:hAnsi="Arial" w:eastAsia="Arial" w:cs="Arial"/>
          <w:sz w:val="22"/>
          <w:szCs w:val="22"/>
        </w:rPr>
      </w:pPr>
      <w:r>
        <w:rPr>
          <w:rFonts w:ascii="Arial" w:hAnsi="Arial" w:eastAsia="Arial" w:cs="Arial"/>
          <w:sz w:val="22"/>
          <w:szCs w:val="22"/>
        </w:rPr>
        <w:t>Excluded source class: superseded Part 2 paper revisions; separate pre-release Part 2a/Part 2b support wording where it conflicts with current canonical papers or this consolidated control path; exported full-series TEM material; future Part 3 unknown-handling procedures except explicit handoff; prior generated answers; and unverified or unadmitted external material. Bibliographic apparatus does not create technical inheritance or move canonical ownership.</w:t>
      </w:r>
    </w:p>
    <w:p>
      <w:pPr>
        <w:widowControl/>
        <w:rPr>
          <w:rFonts w:ascii="Arial" w:hAnsi="Arial" w:eastAsia="Arial" w:cs="Arial"/>
          <w:sz w:val="24"/>
          <w:szCs w:val="24"/>
          <w:b w:val="1"/>
          <w:color w:val="1F4E79"/>
        </w:rPr>
        <w:pStyle w:val="Heading2"/>
        <w:keepNext/>
        <w:keepLines/>
      </w:pPr>
      <w:r>
        <w:rPr>
          <w:rFonts w:ascii="Arial" w:hAnsi="Arial" w:eastAsia="Arial" w:cs="Arial"/>
          <w:sz w:val="24"/>
          <w:szCs w:val="24"/>
          <w:b w:val="1"/>
          <w:color w:val="1F4E79"/>
        </w:rPr>
        <w:t>0.3 Internal subdivision map</w:t>
      </w:r>
    </w:p>
    <w:p>
      <w:pPr>
        <w:widowControl/>
        <w:rPr>
          <w:rFonts w:ascii="Arial" w:hAnsi="Arial" w:eastAsia="Arial" w:cs="Arial"/>
          <w:sz w:val="22"/>
          <w:szCs w:val="22"/>
        </w:rPr>
      </w:pPr>
      <w:r>
        <w:rPr>
          <w:rFonts w:ascii="Arial" w:hAnsi="Arial" w:eastAsia="Arial" w:cs="Arial"/>
          <w:sz w:val="22"/>
          <w:szCs w:val="22"/>
        </w:rPr>
        <w:t xml:space="preserve">Part 2a - Informational Architecture: Papers 1, 1a, 1b, and 1c. Part 2b - Knowledge, Intelligence, and Observation: Papers 2, 3, 4, 4a, 4b, and 4c. The internal sections below retain the pre-release subpart support architecture under this single Part-level control.</w:t>
      </w:r>
    </w:p>
    <w:p>
      <w:pPr>
        <w:pageBreakBefore/>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2a - Informational Architecture</w:t>
      </w:r>
    </w:p>
    <w:p>
      <w:pPr>
        <w:widowControl/>
        <w:rPr>
          <w:rFonts w:ascii="Arial" w:hAnsi="Arial" w:eastAsia="Arial" w:cs="Arial"/>
          <w:sz w:val="22"/>
          <w:szCs w:val="22"/>
        </w:rPr>
      </w:pPr>
      <w:r>
        <w:rPr>
          <w:i/>
          <w:rFonts w:ascii="Arial" w:hAnsi="Arial" w:eastAsia="Arial" w:cs="Arial"/>
          <w:sz w:val="22"/>
          <w:szCs w:val="22"/>
        </w:rPr>
        <w:t xml:space="preserve">Internal Part 2a support section. Papers 1, 1a, 1b, and 1c govern this region. Part 2b terms may appear only as downstream handoff unless the source text explicitly marks a broader bridge use.</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1. Purpose and canonical use rules</w:t>
      </w:r>
    </w:p>
    <w:p>
      <w:pPr>
        <w:rPr>
          <w:rFonts w:ascii="Arial" w:hAnsi="Arial" w:eastAsia="Arial" w:cs="Arial"/>
          <w:sz w:val="22"/>
          <w:szCs w:val="22"/>
        </w:rPr>
        <w:widowControl/>
        <w:spacing w:after="40" w:before="0" w:line="240" w:lineRule="auto"/>
      </w:pPr>
      <w:r>
        <w:rPr>
          <w:rFonts w:ascii="Arial" w:hAnsi="Arial" w:eastAsia="Arial" w:cs="Arial"/>
          <w:sz w:val="22"/>
          <w:szCs w:val="22"/>
        </w:rPr>
        <w:t xml:space="preserve">This Part 2 Glossary records controlled vocabulary for Part 2a: Informational Architecture (From Substrate to Phenomenology). It prevents terminology drift as the RRP architecture, signal pathway, and reference-indexed realism move into support documents, later Part 2b papers, edge-case analysis, and cross-Part applications.</w:t>
      </w:r>
    </w:p>
    <w:p>
      <w:pPr>
        <w:rPr>
          <w:rFonts w:ascii="Arial" w:hAnsi="Arial" w:eastAsia="Arial" w:cs="Arial"/>
          <w:sz w:val="22"/>
          <w:szCs w:val="22"/>
        </w:rPr>
        <w:widowControl/>
        <w:spacing w:after="40" w:before="0" w:line="240" w:lineRule="auto"/>
      </w:pPr>
      <w:r>
        <w:rPr>
          <w:rFonts w:ascii="Arial" w:hAnsi="Arial" w:eastAsia="Arial" w:cs="Arial"/>
          <w:sz w:val="22"/>
          <w:szCs w:val="22"/>
        </w:rPr>
        <w:t>This document does not introduce new concepts, replace the canonical papers, or re-argue the sequence. It gives a controlled definition, canonical home, relationship note, and guardrail for each major term.</w:t>
      </w:r>
    </w:p>
    <w:p>
      <w:pPr>
        <w:rPr>
          <w:rFonts w:ascii="Arial" w:hAnsi="Arial" w:eastAsia="Arial" w:cs="Arial"/>
          <w:sz w:val="22"/>
          <w:szCs w:val="22"/>
        </w:rPr>
        <w:widowControl/>
        <w:spacing w:after="40" w:before="0" w:line="240" w:lineRule="auto"/>
      </w:pPr>
      <w:r>
        <w:rPr>
          <w:rFonts w:ascii="Arial" w:hAnsi="Arial" w:eastAsia="Arial" w:cs="Arial"/>
          <w:sz w:val="22"/>
          <w:szCs w:val="22"/>
        </w:rPr>
        <w:t>Paper 1 owns the access architecture: the scoped definition of information for a locus as RRP-indexed operational distinction, the Relational Access Principle, RRP, OP, OA, OR, RAS, RSD, local locus discipline, and branch-realisation framing.</w:t>
      </w:r>
    </w:p>
    <w:p>
      <w:pPr>
        <w:rPr>
          <w:rFonts w:ascii="Arial" w:hAnsi="Arial" w:eastAsia="Arial" w:cs="Arial"/>
          <w:sz w:val="22"/>
          <w:szCs w:val="22"/>
        </w:rPr>
        <w:widowControl/>
        <w:spacing w:after="40" w:before="0" w:line="240" w:lineRule="auto"/>
      </w:pPr>
      <w:r>
        <w:rPr>
          <w:rFonts w:ascii="Arial" w:hAnsi="Arial" w:eastAsia="Arial" w:cs="Arial"/>
          <w:sz w:val="22"/>
          <w:szCs w:val="22"/>
        </w:rPr>
        <w:t>Paper 1a owns the physical pathway into the access architecture: interaction, physical and dissipative variation, persistence and propagation as physical properties, preserved and signal-bearing contrast, channel-relative discriminability, signal-path failure, thermodynamic and Shannon placement, and the Locus Event Horizon.</w:t>
      </w:r>
    </w:p>
    <w:p>
      <w:pPr>
        <w:rPr>
          <w:rFonts w:ascii="Arial" w:hAnsi="Arial" w:eastAsia="Arial" w:cs="Arial"/>
          <w:sz w:val="22"/>
          <w:szCs w:val="22"/>
        </w:rPr>
        <w:widowControl/>
        <w:spacing w:after="40" w:before="0" w:line="240" w:lineRule="auto"/>
      </w:pPr>
      <w:r>
        <w:rPr>
          <w:rFonts w:ascii="Arial" w:hAnsi="Arial" w:eastAsia="Arial" w:cs="Arial"/>
          <w:sz w:val="22"/>
          <w:szCs w:val="22"/>
        </w:rPr>
        <w:t>Paper 1b owns the realism-facing consequence: unindexed realism instability, substrate difference before observation, access scaffold, broad observation as bounded registration, ontological target, finite model, residual, reference-indexed realism, and discipline of closure.</w:t>
      </w:r>
    </w:p>
    <w:p>
      <w:pPr>
        <w:rPr>
          <w:rFonts w:ascii="Arial" w:hAnsi="Arial" w:eastAsia="Arial" w:cs="Arial"/>
          <w:sz w:val="22"/>
          <w:szCs w:val="22"/>
        </w:rPr>
        <w:widowControl/>
        <w:spacing w:after="40" w:before="0" w:line="240" w:lineRule="auto"/>
      </w:pPr>
      <w:r>
        <w:rPr>
          <w:rFonts w:ascii="Arial" w:hAnsi="Arial" w:eastAsia="Arial" w:cs="Arial"/>
          <w:sz w:val="22"/>
          <w:szCs w:val="22"/>
        </w:rPr>
        <w:t>A term is permitted only when its discriminator conditions remain visible.</w:t>
      </w:r>
    </w:p>
    <w:p>
      <w:pPr>
        <w:widowControl/>
      </w:pPr>
      <w:r>
        <w:rPr>
          <w:rFonts w:ascii="Arial" w:hAnsi="Arial" w:eastAsia="Arial" w:cs="Arial"/>
          <w:sz w:val="22"/>
        </w:rPr>
        <w:t>Paper 1c owns the physical account of relational index, embodiment, derived Relational Reachability, Relational Form, and relational propagation; it does not add RRP Set primitives. Sources: Paper 1c, headings 1-5 and 7.1.</w:t>
      </w:r>
    </w:p>
    <w:p>
      <w:pPr>
        <w:rPr>
          <w:rFonts w:ascii="Arial" w:hAnsi="Arial" w:eastAsia="Arial" w:cs="Arial"/>
          <w:sz w:val="22"/>
          <w:szCs w:val="22"/>
        </w:rPr>
        <w:widowControl/>
        <w:spacing w:after="40" w:before="0" w:line="240" w:lineRule="auto"/>
      </w:pPr>
      <w:r>
        <w:rPr>
          <w:rFonts w:ascii="Arial" w:hAnsi="Arial" w:eastAsia="Arial" w:cs="Arial"/>
          <w:sz w:val="22"/>
          <w:szCs w:val="22"/>
        </w:rPr>
        <w:t>Part 2a terms should not be used to assign Part 2b knowledge, intelligence, or technical observation statuses. Paper 1b may use observation broadly as bounded registration, but that bridge use must not be substituted for the downstream Part 2b observation ladder.</w:t>
      </w:r>
    </w:p>
    <w:p>
      <w:pPr>
        <w:rPr>
          <w:rFonts w:ascii="Arial" w:hAnsi="Arial" w:eastAsia="Arial" w:cs="Arial"/>
          <w:sz w:val="22"/>
          <w:szCs w:val="22"/>
        </w:rPr>
        <w:widowControl/>
        <w:spacing w:after="40" w:before="0" w:line="240" w:lineRule="auto"/>
      </w:pPr>
      <w:r>
        <w:rPr>
          <w:rFonts w:ascii="Arial" w:hAnsi="Arial" w:eastAsia="Arial" w:cs="Arial"/>
          <w:sz w:val="22"/>
          <w:szCs w:val="22"/>
        </w:rPr>
        <w:t>Support shorthand must not replace the canonical papers where a contested technical reading depends on exact wording.</w:t>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2. Canonical ownership map</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w:t>
            </w:r>
          </w:p>
        </w:tc>
        <w:tc>
          <w:tcPr>
            <w:tcW w:type="dxa" w:w="576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Controlled region</w:t>
            </w:r>
          </w:p>
        </w:tc>
        <w:tc>
          <w:tcPr>
            <w:tcW w:type="dxa" w:w="576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Guardrail</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Relative Reference Points</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Informational architecture, Relational Access Principle, RRP as reference node, OP, OA, OR, RAS, RSD, branch-realisation, local locus discipline, and information for a locus as operational distinction.</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treat physical difference, describability, external interpretation, or persistence as RRP-indexed information without availability for the evaluated locus; do not revoke other legitimate informational regimes.</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From Noise Cometh Signal</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pathway of availability, interaction, physical and dissipative variation, persistence and propagation as physical properties, preserved contrast, signal-bearing contrast, channel-relative discriminability, medium, noise, signal path, thermodynamic and Shannon placement, and Locus Event Horizon.</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treat every interaction as signal, every signal as RRP-indexed information for a locus, or physical persistence, propagation, or residue as an independent informational stage.</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Reference-Indexed Realism</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Realism-facing consequence, unindexed realism instability, substrate difference before observation, access scaffold, broad observation as bounded registration, ontological target, finite model, residual, reference-indexed realism, and closure discipline.</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collapse reference-indexing into relativism, broad observation into unmediated certainty, or finite modelling into complete ontology. The target constrains; the model does not exhaust.</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 Relational Form</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index; target and locus as local physical cuts; coupling; embodiment of OA-keyed RAS; derived Relational Reachability; Relational Form and physically supported potential; relational propagation; relation before representation. RRP Set primitives remain owned by Paper 1.</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Keep the wider index, local target, primitive RAS, embodiment, derived reachability, distributed Form, finite model, and residual separate. No new RRP Set element or automatic downstream status.</w:t>
            </w:r>
          </w:p>
        </w:tc>
      </w:tr>
      <w:tr>
        <w:trPr/>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SD-01 - Concept Compression Map</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Support-stack alignment and cross-indexing for the split Part 2a source set.</w:t>
            </w:r>
          </w:p>
        </w:tc>
        <w:tc>
          <w:tcPr>
            <w:tcW w:type="dxa" w:w="576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only as compression and navigation. Technical definitions remain governed by the four Part 2a canonical papers; the full glossary also preserves the distinct Part 2b region.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3. Controlled vocabulary</w:t>
      </w:r>
    </w:p>
    <w:p>
      <w:pPr>
        <w:rPr>
          <w:rFonts w:ascii="Arial" w:hAnsi="Arial" w:eastAsia="Arial" w:cs="Arial"/>
          <w:sz w:val="24"/>
          <w:szCs w:val="24"/>
          <w:b w:val="1"/>
          <w:color w:val="1F4E79"/>
        </w:rPr>
        <w:pStyle w:val="Heading2"/>
        <w:widowControl/>
        <w:spacing w:before="40" w:after="40" w:line="240" w:lineRule="auto"/>
        <w:keepNext/>
        <w:keepLines/>
      </w:pPr>
      <w:r>
        <w:rPr>
          <w:rFonts w:ascii="Arial" w:hAnsi="Arial" w:eastAsia="Arial" w:cs="Arial"/>
          <w:sz w:val="24"/>
          <w:szCs w:val="24"/>
          <w:b w:val="1"/>
          <w:color w:val="1F4E79"/>
        </w:rPr>
        <w:t>A. Access architecture and RRP Set</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0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Term</w:t>
            </w:r>
          </w:p>
        </w:tc>
        <w:tc>
          <w:tcPr>
            <w:tcW w:type="dxa" w:w="54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Controlled definition</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 / type</w:t>
            </w:r>
          </w:p>
        </w:tc>
        <w:tc>
          <w:tcPr>
            <w:tcW w:type="dxa" w:w="374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Relationship and guardrail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Substrate difference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Reality-constrained physical difference that may exist before, without, or beyond availability to any finite locus.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Paper 1b | Grounding</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Substrate difference is real and may already stand in legitimate non-RRP informational relations; its operational availability for this locus is unestablished.</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difference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Variation in location, duration, energy, pressure, temperature, charge, concentration, molecular form, surface, velocity, orientation, frequency, density, boundary condition, state trajectory, or other physically admissible condition.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Grounding</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difference does not establish RRP-indexed information for a locus merely by existing, persisting, or being describable.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Information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Within the RRP architecture, information for a locus is physical difference made relationally available as operational distinction under specified reference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Core scoped definition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This definition governs the evaluated access relation; it does not revoke thermodynamic, statistical, physical, Shannon, or other legitimate informational descriptions under their own conditions.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Informational distinction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physical difference that can count as this rather than that for a locus under RRP-indexed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Access status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same carrier may support different informational relations under different RRPs and other valid descriptive regimes.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Operational distinction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distinction available, classable, registerable, retainable, or redeployable under conditions that make the distinction evaluable for a locus.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Architecture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Operational does not mean useful by default; the relevant operation and locus must be specified.</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Access Principle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finite locus does not possess reality as total state; it encounters reality only through relations by which difference becomes available, classed, registered, retained, and possibly redeployed.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Governing principle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This is not a denial of reality or of informational relations beyond the evaluated locus. It denies unbounded possession of the real by a finite locus.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Relative Reference Point (RRP)</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Situated reference node from which distinction evaluation becomes well-posed for a locus.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Reference node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Relative does not mean subjective; reference does not mean arbitrary description.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unit relative to which distinction is evaluated in the present relation.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Localisation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locally. Do not silently transfer distinctions from one locus to another across a wider system or chain. Paper 1c treats target and locus as local physical cuts in the wider index; that does not abolish locality.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Interface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boundary-mediated relation through which a locus can encounter difference.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Access condition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An interface may be biological, technical, institutional, computational, or procedural; it must not be assumed absent.</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Regime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Structured condition under which availability, discrimination, classing, registration, retention, and redeployment become possible.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Access condition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Regime includes boundary, scale, horizon, noise tolerance, abstraction, comparator assumptions, and relevant branch-space.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 conditions</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Specified boundary, interface, scale, operational horizon, discrimination/noise regime, abstraction, registration, retention, redeployment, and comparator assumptions under which a claim is evaluated.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Paper 1b | Evaluation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 conditions make the claim evaluable; they do not make the claim true.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 Set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Operational element-set of informational architecture: RRP, OP, OA, OR, RAS, and RSD.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Architecture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collapse the elements into one undifferentiated information label.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Ontic Projection (OP)</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Available contrast field at an interface under specified reference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RRP Set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persistent, propagating, or externally readable physical state is not automatically OP. OP begins where contrast is available to the specified locus.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Ontic Abstraction (OA)</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Classing regime by which available contrast is partitioned into registerable alternatives.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RRP Set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Without OA, there is no classed alternative for registration.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Ontic Registration (OR)</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Event by which one OP-supported, OA-classed alternative becomes selected into state.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RRP Set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OR is not mere perturbation, coupling, physical persistence, or external description.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Registered Abstraction State (RAS)</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OA-keyed retained token-state produced by OR from an OP-supported contrast field at a specified RRP and persisting over an operational horizon at a reference scale.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RRP Set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RAS is not any persistent mark, residue, memory-like state, or archive. It requires classed registration and retention. Paper 1c calls earned OA-keyed physical retention embodiment; it adds no further RAS threshold.</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Registered-State Deployment (RSD)</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Redeployment of retained distinction into later transition, inference, action, control, correction, or branch-realisation.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RRP Set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downstream effect is not RSD unless the retained distinction is actually operative in the later pathway.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Branch-realisation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differential realisation of an alternative trajectory, outcome, registration, transition, action, or downstream state under an operative regime.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Architecture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Branch-realisation does not require conscious choice.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Local locus discipline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Rule that the evaluated locus must remain tied to the relation being assessed and cannot be moved silently between source, carrier, user, institution, or analyst.</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Guardrail</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Essential for preventing external interpretation from replacing the system relation under evaluation.</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4"/>
          <w:szCs w:val="24"/>
          <w:b w:val="1"/>
          <w:color w:val="1F4E79"/>
        </w:rPr>
        <w:pStyle w:val="Heading2"/>
        <w:widowControl/>
        <w:spacing w:before="40" w:after="40" w:line="240" w:lineRule="auto"/>
        <w:keepNext/>
        <w:keepLines/>
      </w:pPr>
      <w:r>
        <w:rPr>
          <w:rFonts w:ascii="Arial" w:hAnsi="Arial" w:eastAsia="Arial" w:cs="Arial"/>
          <w:sz w:val="24"/>
          <w:szCs w:val="24"/>
          <w:b w:val="1"/>
          <w:color w:val="1F4E79"/>
        </w:rPr>
        <w:t>B. Signal and physical availability</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0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Term</w:t>
            </w:r>
          </w:p>
        </w:tc>
        <w:tc>
          <w:tcPr>
            <w:tcW w:type="dxa" w:w="54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Controlled definition</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 / type</w:t>
            </w:r>
          </w:p>
        </w:tc>
        <w:tc>
          <w:tcPr>
            <w:tcW w:type="dxa" w:w="374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Relationship and guardrail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Interaction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exchange, absorption, scattering, transformation, transmission, constraint, dissipation, redirection, storage, release, or redistribution of energy and matter.</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Pre-signal ground</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Interaction produces variation; it is not automatically signal or RRP-indexed information for a locus.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variation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Uneven physical result of interaction, such as gradients, residues, pressure differences, conformations, phase shifts, boundary marks, or altered trajectories.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Pre-signal ground</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Variation may support contrast but is not yet signal-bearing by default.</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Dissipative variation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Variation produced as energy or matter spreads, degrades, redistributes, or transforms under physical constraints.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Physical pathway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Dissipation makes variation; variation may support contrast; contrast may support signal.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Continuation of a physical state or alteration over an interval.</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Physical property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 is not a signal, OP, OR, RAS, record, knowledge, or observation status by itself.</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Propagation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Movement or transmission of physical variation through a medium or across a pathway.</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Physical property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Propagation does not establish preserved contrast, channel discriminability, or availability for a locus. Distinguish this ordinary physical use from Paper 1c relational propagation, which requires sufficient target-relevant preservation through transformations.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residue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alteration remaining after an interaction, such as a mark, gradient, deformation, conformation, deposit, or boundary change.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Ordinary physical description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Residue may later supply contrast to a signal path, but it is not an independent architectural stage or retained-record status.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variation preserved as contrast through a medium under conditions in which discrimination may become possible.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Core definition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is not primitive RRP-indexed information, semantic message, or free-floating content.</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Signal-bearing contrast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Preserved contrast carried through a signal path in a way that may become discriminable for a channel, receiver, or locus.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Signal layer</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It is weaker than RRP-indexed information for the evaluated locus because availability as distinction has not yet been shown.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path</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pathway through which selected contrast is carried, transformed, filtered, amplified, attenuated, or stabilised.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Physical pathway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signal path does not carry the world whole; it carries selected contrast under constraints.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Medium</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Material, energetic, field, channel, substrate, institutional, or technical pathway through which contrast may be preserved or transformed.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Physical pathway</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Medium constraints shape what contrast survives and what fails.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Channel-relative discriminability</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Condition where contrast is discriminable relative to channel, alphabet, noise model, coding regime, and receiver or locus discrimination capacity.</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Bridge to OP</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Channel-discriminable contrast may already have valid Shannon status, but it is not RRP-indexed information for the evaluated locus unless it becomes available as distinction.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Noise regime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Variation or uncertainty condition relative to which a contrast may be masked, preserved, degraded, or discriminable.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Channel condition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Noise is regime-relative; what is noise under one regime may become signal under another.</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 alphabet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Set of physically supported symbol or token classes under a channel-relative discrimination regime.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Shannon placement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Alphabet requires stable classes; it is not arbitrary external labelling.</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Shannon Information Theory (SIT)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Formal discipline of channel-relative uncertainty, coding, noise, symbols, bits, and transmission under specified source, channel, alphabet, and receiver or locus discrimination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Formal placement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SIT is valid within its specified regime but is not the complete theory of all information in this framework.</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Available distinction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Contrast that has become available as an alternative for a locus under RRP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 / Paper 1a | Access status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This is the entry point into OP, not a property carried absolutely by a physical state.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 Event Horizon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Ingress-boundary beyond which external difference cannot become signal-bearing contrast capable of entering OP for a locus under the present regime.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Access limit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Not an edge of reality, not absolute unknowability, not a black-hole physics literalism, and not a performance measure. Relational Reachability concerns formation of a particular relation, not merely ingress of its carrier (Paper 1c, heading 2.4).</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Ingress-boundary</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Boundary at which difference can or cannot enter the access pathway as signal-bearing contrast for a finite locus.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1a | Access limit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What lies beyond may be real and consequential elsewhere or informational under another regime, but unavailable to this locus under the present regime.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4"/>
          <w:szCs w:val="24"/>
          <w:b w:val="1"/>
          <w:color w:val="1F4E79"/>
        </w:rPr>
        <w:pStyle w:val="Heading2"/>
        <w:widowControl/>
        <w:spacing w:before="40" w:after="40" w:line="240" w:lineRule="auto"/>
        <w:keepNext/>
        <w:keepLines/>
      </w:pPr>
      <w:r>
        <w:rPr>
          <w:rFonts w:ascii="Arial" w:hAnsi="Arial" w:eastAsia="Arial" w:cs="Arial"/>
          <w:sz w:val="24"/>
          <w:szCs w:val="24"/>
          <w:b w:val="1"/>
          <w:color w:val="1F4E79"/>
        </w:rPr>
        <w:t>C. Reference-indexed realism and closure discipline</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0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Term</w:t>
            </w:r>
          </w:p>
        </w:tc>
        <w:tc>
          <w:tcPr>
            <w:tcW w:type="dxa" w:w="54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Controlled definition</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 / type</w:t>
            </w:r>
          </w:p>
        </w:tc>
        <w:tc>
          <w:tcPr>
            <w:tcW w:type="dxa" w:w="374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Relationship and guardrail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Realism</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Commitment that reality has authority independent of thought, perception, language, desire, convention, or agreement.</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Realism frame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Realism requires distinction between real and not-real but must index the respect in which the claim is made.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Unindexed realism</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Realism claim that asks whether something is real without specifying real as what, for what locus, through what access relation, at what scale, over what horizon, under what comparator, and with what residual.</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Failure target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Unindexed realism risks naive possession or indiscriminate inclusion.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Reference-indexed realism</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Position that finite realism claims are models of ontological targets formed through the RRP scaffold under access, scale, horizon, comparator, and residual discipline.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Core position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Reference-indexing disciplines realism; it does not dissolve the real/unreal distinction.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Ontological target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target relation, condition, object, process, value, event, absence, possibility, institution, or structure toward which a finite realism claim is directed.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Target/model relation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target constrains what can be preserved, but no finite model exhausts the target whole. Paper 1c, heading 1.3 uses a local physical target cut within the relational index; this physical treatment does not silently replace Paper 1b broader target vocabulary.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Access scaffold</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RRP-structured pathway by which substrate difference can become available, classed, registered, retained, and possibly redeployed for a finite locus.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Realism bridge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scaffold is not a semantic afterthought; it is the access condition of finite reality-claim.</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Finite model</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Indexed record or model of a target relation formed through bounded access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Target/model relation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model may preserve real relation without being complete ontology. Paper 1c, heading 5.2 distinguishes the finite model from both distributed Relational Form and locus-specific reachability.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 constraint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Reality-facing condition that limits what an access scaffold, abstraction, record, or model can successfully preserve.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Realist guardrail</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observer cannot invent all constraints by perspective alone.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Access constriction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Finite-locus condition that limits what can be accessed, classed, registered, retained, and redeployed.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Finitude guardrail</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Constriction is not falsehood. It is the form of finite access.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What remains outside, under-specified, unpreserved, unresolved, or not yet carried by a finite model or claim under specified reference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Closure discipline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Residual prevents premature closure; it is not a defect to be hidden. In Paper 1c, heading 5.2 it also includes uncertain provenance and unestablished reachability; changed scaffolding can update access without guaranteeing closure.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Discipline of closure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Rule that a realism claim should close only to the extent warranted by target constraint, access scaffold, comparator pressure, and residual tracking.</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Closure discipline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Closure is not certainty, completeness, or final ontology.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Premature closure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Treating a finite model, record, measurement, category, or perspective as if it exhausted the target relation.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Failure mode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Restore residual and specify the limits of the access relation.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Real/unreal contrast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Boundary relation through which realism gains force by distinguishing the real from illusion, fiction, possibility, absence, construction, abstraction, mistake, or mere seeming.</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Realism problem</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unreal often returns as experience, consequence, model, disclosure, branch-space, power, or error condition; the respect must be indexed.</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Reality-claim</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Claim about what is real, in what respect, through what access relation, for what locus, at what scale, over what horizon, under what comparator, and with what residual.</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Evaluative claim</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reality-claim is not well-formed without an index strong enough for the claim being made.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Corrigible modelling</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Model formation that remains open to testing, comparison, correction, weakening, or rejection under target constraint and residual discipline.</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Objectivity precursor</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Corrigibility blocks both naive possession and sceptical collapse.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4"/>
          <w:szCs w:val="24"/>
          <w:b w:val="1"/>
          <w:color w:val="1F4E79"/>
        </w:rPr>
        <w:pStyle w:val="Heading2"/>
        <w:widowControl/>
        <w:spacing w:before="40" w:after="40" w:line="240" w:lineRule="auto"/>
        <w:keepNext/>
        <w:keepLines/>
      </w:pPr>
      <w:r>
        <w:rPr>
          <w:rFonts w:ascii="Arial" w:hAnsi="Arial" w:eastAsia="Arial" w:cs="Arial"/>
          <w:sz w:val="24"/>
          <w:szCs w:val="24"/>
          <w:b w:val="1"/>
          <w:color w:val="1F4E79"/>
        </w:rPr>
        <w:t>D. Handoff and boundary terms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0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Term</w:t>
            </w:r>
          </w:p>
        </w:tc>
        <w:tc>
          <w:tcPr>
            <w:tcW w:type="dxa" w:w="54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Controlled definition</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 / type</w:t>
            </w:r>
          </w:p>
        </w:tc>
        <w:tc>
          <w:tcPr>
            <w:tcW w:type="dxa" w:w="374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Relationship and guardrail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Phenomenological availability</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finite availability of relation as something registerable, modelable, claimable, or experience-adjacent for a locus through access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 Bridge frame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Use as bridge language only. Do not treat it as conscious experience unless later papers add that condition.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Knowledge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Downstream Part 2b status of retained distinction.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handoff | Not defined here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prepares RAS and retention architecture but does not assign full knowledge-status.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Intelligence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Downstream Part 2b status of applied distinction.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handoff | Not defined here</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2a prepares RSD and branch-realisation architecture but does not assign intelligence-status.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Observation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 Paper 1b broad realism-facing use, bounded registration through the RRP scaffold; Paper 1c makes its physical ground explicit. In Part 2b it is a technical status developed through Paper 4 own ladder.</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Broad bridge; Paper 1c, heading 5.3 | Physical grounding; Paper 4 | Technical status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treat broad observation language as the completed Part 2b status, and do not erase Paper 1b bounded-registration role.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Objectivity</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Disciplined correction of indexed models under target constraint; later papers develop its abstraction, scale, and observation-specific detail.</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1b / downstream handoff</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import later abstraction and scale objectivity detail into Part 2a definitions unless explicitly marked as downstream.</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inheritance</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later sequence in which retained, applied, and technically observed distinction are developed as knowledge, intelligence, and observation.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Support-control term</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Part 2b inherits Part 2a architecture; it does not redefine the Part 2a access scaffold.</w:t>
            </w:r>
          </w:p>
        </w:tc>
      </w:tr>
    </w:tbl>
    <w:p>
      <w:pPr>
        <w:keepNext/>
        <w:widowControl/>
        <w:spacing w:line="240" w:lineRule="auto" w:before="0" w:after="0"/>
      </w:pPr>
      <w:r>
        <w:rPr>
          <w:rFonts w:ascii="Arial" w:hAnsi="Arial" w:eastAsia="Arial" w:cs="Arial"/>
          <w:sz w:val="22"/>
        </w:rPr>
      </w:r>
    </w:p>
    <w:p>
      <w:pPr>
        <w:pStyle w:val="Heading2"/>
        <w:keepNext/>
        <w:widowControl/>
      </w:pPr>
      <w:r>
        <w:rPr>
          <w:rFonts w:ascii="Arial" w:hAnsi="Arial" w:eastAsia="Arial" w:cs="Arial"/>
          <w:sz w:val="24"/>
        </w:rPr>
        <w:t>E. Relational Form and derived physical relations</w:t>
      </w:r>
    </w:p>
    <w:p>
      <w:pPr>
        <w:widowControl/>
      </w:pPr>
      <w:r>
        <w:rPr>
          <w:rFonts w:ascii="Arial" w:hAnsi="Arial" w:eastAsia="Arial" w:cs="Arial"/>
          <w:sz w:val="22"/>
        </w:rPr>
        <w:t>These entries compress Paper 1c, not a new support-defined architecture. The established A-D groups retain their order. Primitive definitions and the broader Paper 1b target vocabulary remain in their existing canonical homes.</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636"/>
        <w:gridCol w:w="3636"/>
        <w:gridCol w:w="3636"/>
        <w:gridCol w:w="3636"/>
      </w:tblGrid>
      <w:tr>
        <w:trPr>
          <w:tblHeader w:val="1"/>
        </w:trPr>
        <w:tc>
          <w:tcPr>
            <w:tcW w:type="dxa" w:w="230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Term</w:t>
            </w:r>
          </w:p>
        </w:tc>
        <w:tc>
          <w:tcPr>
            <w:tcW w:type="dxa" w:w="547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Controlled definition</w:t>
            </w:r>
          </w:p>
        </w:tc>
        <w:tc>
          <w:tcPr>
            <w:tcW w:type="dxa" w:w="28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Canonical home / type</w:t>
            </w:r>
          </w:p>
        </w:tc>
        <w:tc>
          <w:tcPr>
            <w:tcW w:type="dxa" w:w="3744"/>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Relationship and guardrail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index</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physically real depth and extension of relation; at full extension, the totality of relations in which physical states, trajectories, constraints, and organisations stand.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1.1-1.2 | Physical ground</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Broader than a local target or its Relational Form. Not a reference coordinate, semantic label, observer inventory, or finite model.</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 as local physical cut</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bounded ontological subdivision within the relational index whose physical relations are presently being tracked.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1.3 | Local physical treatment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cut localises a claim; it neither creates the target nor terminates the target's real relations at the chosen boundary. Paper 1b retains the general target/model definition.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Coupling</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interaction through which target-relative difference becomes causally connected to a locus and a new local relation is produced.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2.1-2.2 | Physical access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 and locus histories jointly condition the encounter. Coupling alone does not establish classed registration or retained distinction.</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 / embodied abstraction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physical significance of an earned RAS: an OA-keyed retained substrate state instantiates the abstraction through which a prior relation was discriminated.</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2.3 | Operational description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RAS remains primitive. Embodiment is not an additional informational status, and physical residue alone does not qualify.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Reachability</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Reference-conditioned capacity of a locus, given present physical organisation and available scaffolding, to stabilise a target-relative relation as operational distinction immediately or through physically supported intermediate relations.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2.4 | Derived organisational condition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Formation, not ingress. Indexed to target, locus, coupling, history, scaffold, and horizon; not a new RRP Set element or an absolute limit on reality.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Immediately reachable relation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relation for which the locus already carries sufficient organisation for the relevant contrast to be classed and registered under the present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2.4 | Reachability distinction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Immediate reach is relation-specific; encountering an object does not make every relation to that object immediately formable.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Constructibly reachable relation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relation not yet stabilisable, but formable through a physically available sequence of intermediate distinctions, retained states, tools, demonstrations, or other couplings that changes the locus.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2.4 | Reachability distinction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Mere conceivability is not a supported path. Present unreachability can change when organisation or scaffold changes.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Scaffolding</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Physically supported instruments, records, language, other loci, practices, or intermediate relations that can alter the route by which a locus forms further distinctions.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2.4 and 5.2 | Support for formation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scaffold can change ingress, classing, or construction conditions; it does not deliver a completed meaning, establish KIP/OIP by itself, or guarantee adequate target-tracking.</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The sum total of distributed relations tracking the same physically grounded distinction, whether presently instantiated in a target instance or preserving the physical possibility of such an instantiation.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3.1 and 7.1 | Higher-scale description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Ontological extent is not finite enumeration. Form can be concentrated or diffuse, include conflict or error, and exceed one locus without becoming the whole index or a distributed Observer. Write in full; RF is reserved for Registration Fidelity.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Form before instance / Form in potential</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Physically organised relations can support a target distinction before a particular local target instance exists.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headings 3.3-3.4 | Potential dimension of Form</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Causal possibility must be carried by organisation. Neither a present hidden miniature nor a second ideal object outside physical relation is implied.</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continuity</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Continuity of sufficient target-relevant structure and causal provenance across changed carriers, loci, or times.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4.2 | Cross-substrate relation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Material resemblance and total state identity are unnecessary; adequate preservation of the relevant distinction remains necessary.</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propagation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Continuity through transformations in which a source relation alters a carrier, selected contrast is preserved, another locus couples to it, and a related distinction can be stabilised locally.</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4.2 | Derived cross-locus account</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transfer completed meaning intact. Carrier loss, failed ingress, insufficient receiver organisation, distorted abstraction, and absent redeployment remain distinct failures.</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Representation</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 later relation in which an embodied distinction is treated as standing for a target, state, class, event, or relation.</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4.1 | Downstream standing-for relation</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relation and earned retention do not require representation. Successful representation requires an appropriate receiving regime and can fail despite carrier presence.</w:t>
            </w:r>
          </w:p>
        </w:tc>
      </w:tr>
      <w:tr>
        <w:trPr/>
        <w:tc>
          <w:tcPr>
            <w:tcW w:type="dxa" w:w="230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availability</w:t>
            </w:r>
          </w:p>
        </w:tc>
        <w:tc>
          <w:tcPr>
            <w:tcW w:type="dxa" w:w="547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Finite access through which relations cross a locus's present boundary, interface, scale, horizon, discrimination regime, and abstraction conditions.</w:t>
            </w:r>
          </w:p>
        </w:tc>
        <w:tc>
          <w:tcPr>
            <w:tcW w:type="dxa" w:w="28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Paper 1c, heading 6 | Bridge to a finite locus</w:t>
            </w:r>
          </w:p>
        </w:tc>
        <w:tc>
          <w:tcPr>
            <w:tcW w:type="dxa" w:w="3744"/>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Availability opens a local path through the index or Form; reachability concerns which further relations can be formed from that path. Neither gives possession of the whole.</w:t>
            </w:r>
          </w:p>
        </w:tc>
      </w:tr>
    </w:tbl>
    <w:p>
      <w:pPr>
        <w:keepNext/>
        <w:widowControl/>
        <w:spacing w:line="240" w:lineRule="auto" w:before="0" w:after="0"/>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4. Misuse compression</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7272"/>
        <w:gridCol w:w="7272"/>
      </w:tblGrid>
      <w:tr>
        <w:trPr>
          <w:tblHeader w:val="1"/>
        </w:trPr>
        <w:tc>
          <w:tcPr>
            <w:tcW w:type="dxa" w:w="432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Misuse</w:t>
            </w:r>
          </w:p>
        </w:tc>
        <w:tc>
          <w:tcPr>
            <w:tcW w:type="dxa" w:w="1008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Correction</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difference = RRP-indexed information</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Difference becomes operationally informational for the evaluated locus only under RRP-indexed availability as distinction; other informational regimes retain their own conditions.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Signal = RRP-indexed information for a locus</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Signal is preserved contrast; operational information for the evaluated locus requires availability as distinction under RRP conditions.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Persistence or residue = record / RAS</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Physical persistence, propagation, marks, or residue are properties of state evolution; RAS requires OA-keyed OR production and retention under specified reference conditions.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RRP-relative = subjective</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Relative means reference-conditioned; the constraint remains real.</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Observer/model creates target</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The target constrains what can be preserved; the finite model does not create the target by itself.</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Finite access = scepticism</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Mediation is not unreality. Some indexed models preserve target relations better than others.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Closure = certainty</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Closure is disciplined to the extent warranted and must carry residual where the model is incomplete.</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Locus Event Horizon = edge of reality</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It is the ingress-boundary of possible relation for a finite locus under a regime.</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Embodiment = a new status after RAS</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It describes the physical instantiation already entailed by OA-keyed retention (Paper 1c, heading 2.3).</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Ingress = Relational Reachability</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A carrier may enter the access path while the target relation remains unstabilisable for the locus (Paper 1c, heading 2.4).</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Reachability = KIP / OIP / OH</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Relation formation, grounded record deployability, and reliable observation-program reach answer different questions.</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 = relational index = finite model</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Form tracks a particular grounded distinction; the index is wider; a model is a finite indexed abstraction (Paper 1c, headings 5.2 and 7.1).</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Physical provenance = every prior contrast preserved</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A distinction can lie in the causal history but be lost in transformation; another may never have coupled into the path (Paper 1c, heading 6).</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Target-related error = a true target property</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False. A retained misrelation may be physically real and consequential without making its proposition true of the target (Paper 1c, heading 4.3).</w:t>
            </w:r>
          </w:p>
        </w:tc>
      </w:tr>
      <w:tr>
        <w:trPr/>
        <w:tc>
          <w:tcPr>
            <w:tcW w:type="dxa" w:w="432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Relational Form = RF</w:t>
            </w:r>
          </w:p>
        </w:tc>
        <w:tc>
          <w:tcPr>
            <w:tcW w:type="dxa" w:w="1008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Do not abbreviate Relational Form to RF. RF denotes Registration Fidelity in Paper 4c.</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5. Change log</w:t>
      </w:r>
    </w:p>
    <w:tbl>
      <w:tblPr>
        <w:tblW w:type="auto" w:w="0"/>
        <w:jc w:val="center"/>
        <w:tblLayout w:type="autofit"/>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4848"/>
        <w:gridCol w:w="4848"/>
        <w:gridCol w:w="4848"/>
      </w:tblGrid>
      <w:tr>
        <w:trPr>
          <w:tblHeader w:val="1"/>
        </w:trPr>
        <w:tc>
          <w:tcPr>
            <w:tcW w:type="dxa" w:w="1440"/>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Issue</w:t>
            </w:r>
          </w:p>
        </w:tc>
        <w:tc>
          <w:tcPr>
            <w:tcW w:type="dxa" w:w="1728"/>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Date</w:t>
            </w:r>
          </w:p>
        </w:tc>
        <w:tc>
          <w:tcPr>
            <w:tcW w:type="dxa" w:w="11232"/>
            <w:vAlign w:val="top"/>
            <w:shd w:fill="D9EAF7" w:val="cle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rFonts w:ascii="Arial" w:hAnsi="Arial" w:eastAsia="Arial" w:cs="Arial"/>
                <w:sz w:val="20"/>
                <w:szCs w:val="20"/>
                <w:b/>
              </w:rPr>
              <w:t>Change</w:t>
            </w:r>
          </w:p>
        </w:tc>
      </w:tr>
      <w:tr>
        <w:trPr/>
        <w:tc>
          <w:tcPr>
            <w:tcW w:type="dxa" w:w="14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Issue 1</w:t>
            </w:r>
          </w:p>
        </w:tc>
        <w:tc>
          <w:tcPr>
            <w:tcW w:type="dxa" w:w="17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2026-08-08</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Revised Issue 1 source lock to Papers 1 P2v8, 1a P2v11, and 1b P2v7 and the updated SD-01 Issue 1; preserves scoped information discipline, non-stage treatment of persistence/propagation/residue, and broad-versus-technical observation separation.</w:t>
            </w:r>
          </w:p>
        </w:tc>
      </w:tr>
      <w:tr>
        <w:trPr/>
        <w:tc>
          <w:tcPr>
            <w:tcW w:type="dxa" w:w="1440"/>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Issue 1 support - Pass 1</w:t>
            </w:r>
          </w:p>
        </w:tc>
        <w:tc>
          <w:tcPr>
            <w:tcW w:type="dxa" w:w="1728"/>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2026-09-23</w:t>
            </w:r>
          </w:p>
        </w:tc>
        <w:tc>
          <w:tcPr>
            <w:tcW w:type="dxa" w:w="11232"/>
            <w:vAlign w:val="top"/>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before="0" w:line="240" w:lineRule="auto"/>
            </w:pPr>
            <w:r>
              <w:rPr>
                <w:b w:val="0"/>
                <w:rFonts w:ascii="Arial" w:hAnsi="Arial" w:eastAsia="Arial" w:cs="Arial"/>
                <w:sz w:val="20"/>
                <w:szCs w:val="20"/>
              </w:rPr>
              <w:t>Added Paper 1c and fourteen source-anchored vocabulary entries; updated ownership, scope, related guardrails, and Part 2b cross-references. Retained the earlier change record and historical locks. Changed the active title to Part 2 Glossary to match the document ID and scope. Release approval and final hashes remain pending.</w:t>
            </w:r>
          </w:p>
        </w:tc>
      </w:tr>
      <w:tr>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Issue 1 - final release</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2026-09-23</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Propagated all ten released paper identities and current hashes, including Paper 1c with scholarly apparatus; bound the glossary to released SD-01. Updated release furniture and metadata. All vocabulary definitions and historical records are preserved; full final digests are in the companion manifest.</w:t>
            </w:r>
          </w:p>
        </w:tc>
      </w:tr>
      <w:tr>
        <w:trPr/>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 xml:space="preserve">Issue 1 - Part 2b reconciliation</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 xml:space="preserve">2026-09-23</w:t>
            </w:r>
          </w:p>
        </w:tc>
        <w:tc>
          <w:tcPr>
            <w:tcW w:type="dxa" w:w="4848"/>
            <w:tcBorders>
              <w:top w:val="single" w:sz="4" w:color="7F7F7F"/>
              <w:left w:val="single" w:sz="4" w:color="7F7F7F"/>
              <w:bottom w:val="single" w:sz="4" w:color="7F7F7F"/>
              <w:right w:val="single" w:sz="4" w:color="7F7F7F"/>
              <w:insideH w:val="single" w:sz="4" w:color="7F7F7F"/>
              <w:insideV w:val="single" w:sz="4" w:color="7F7F7F"/>
            </w:tcBorders>
          </w:tcPr>
          <w:p>
            <w:r>
              <w:rPr>
                <w:rFonts w:ascii="Arial" w:hAnsi="Arial" w:eastAsia="Arial" w:cs="Arial"/>
                <w:sz w:val="20"/>
              </w:rPr>
              <w:t xml:space="preserve">Aligned the event-horizon profile and Perspective relationship note with revised Paper 4a; reconciled the limited Paper 1c integrations in Papers 2, 4a and 4c and refreshed source/support locks. Other vocabulary definitions and canonical homes remain unchanged. Verification scope is stated in 0.1.</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pStyle w:val="Heading1"/>
        <w:widowControl/>
        <w:spacing w:before="80" w:after="40" w:line="240" w:lineRule="auto"/>
        <w:keepNext/>
        <w:keepLines/>
      </w:pPr>
      <w:r>
        <w:rPr>
          <w:rFonts w:ascii="Arial" w:hAnsi="Arial" w:eastAsia="Arial" w:cs="Arial"/>
          <w:sz w:val="30"/>
          <w:szCs w:val="30"/>
          <w:b w:val="1"/>
          <w:color w:val="1F4E79"/>
        </w:rPr>
        <w:t>6. Release/revision checklist</w:t>
      </w:r>
    </w:p>
    <w:p>
      <w:pPr>
        <w:rPr>
          <w:rFonts w:ascii="Arial" w:hAnsi="Arial" w:eastAsia="Arial" w:cs="Arial"/>
          <w:sz w:val="22"/>
          <w:szCs w:val="22"/>
        </w:rPr>
        <w:widowControl/>
        <w:spacing w:after="40" w:before="0" w:line="240" w:lineRule="auto"/>
      </w:pPr>
      <w:r>
        <w:rPr>
          <w:rFonts w:ascii="Arial" w:hAnsi="Arial" w:eastAsia="Arial" w:cs="Arial"/>
          <w:sz w:val="22"/>
          <w:szCs w:val="22"/>
        </w:rPr>
        <w:t>Does each term remain tied to a canonical home?</w:t>
      </w:r>
    </w:p>
    <w:p>
      <w:pPr>
        <w:rPr>
          <w:rFonts w:ascii="Arial" w:hAnsi="Arial" w:eastAsia="Arial" w:cs="Arial"/>
          <w:sz w:val="22"/>
          <w:szCs w:val="22"/>
        </w:rPr>
        <w:widowControl/>
        <w:spacing w:after="40" w:before="0" w:line="240" w:lineRule="auto"/>
      </w:pPr>
      <w:r>
        <w:rPr>
          <w:rFonts w:ascii="Arial" w:hAnsi="Arial" w:eastAsia="Arial" w:cs="Arial"/>
          <w:sz w:val="22"/>
          <w:szCs w:val="22"/>
        </w:rPr>
        <w:t>Does every definition preserve the difference between physical difference, signal, OP, OR, RAS, and RSD?</w:t>
      </w:r>
    </w:p>
    <w:p>
      <w:pPr>
        <w:rPr>
          <w:rFonts w:ascii="Arial" w:hAnsi="Arial" w:eastAsia="Arial" w:cs="Arial"/>
          <w:sz w:val="22"/>
          <w:szCs w:val="22"/>
        </w:rPr>
        <w:widowControl/>
        <w:spacing w:after="40" w:before="0" w:line="240" w:lineRule="auto"/>
      </w:pPr>
      <w:r>
        <w:rPr>
          <w:rFonts w:ascii="Arial" w:hAnsi="Arial" w:eastAsia="Arial" w:cs="Arial"/>
          <w:sz w:val="22"/>
          <w:szCs w:val="22"/>
        </w:rPr>
        <w:t>Does the glossary block signal/RRP-status inflation, information-scope collapse, and persistence/RAS inflation?</w:t>
      </w:r>
    </w:p>
    <w:p>
      <w:pPr>
        <w:rPr>
          <w:rFonts w:ascii="Arial" w:hAnsi="Arial" w:eastAsia="Arial" w:cs="Arial"/>
          <w:sz w:val="22"/>
          <w:szCs w:val="22"/>
        </w:rPr>
        <w:widowControl/>
        <w:spacing w:after="40" w:before="0" w:line="240" w:lineRule="auto"/>
      </w:pPr>
      <w:r>
        <w:rPr>
          <w:rFonts w:ascii="Arial" w:hAnsi="Arial" w:eastAsia="Arial" w:cs="Arial"/>
          <w:sz w:val="22"/>
          <w:szCs w:val="22"/>
        </w:rPr>
        <w:t>Does it preserve local locus discipline and prevent external interpreter substitution?</w:t>
      </w:r>
    </w:p>
    <w:p>
      <w:pPr>
        <w:rPr>
          <w:rFonts w:ascii="Arial" w:hAnsi="Arial" w:eastAsia="Arial" w:cs="Arial"/>
          <w:sz w:val="22"/>
          <w:szCs w:val="22"/>
        </w:rPr>
        <w:widowControl/>
        <w:spacing w:after="40" w:before="0" w:line="240" w:lineRule="auto"/>
      </w:pPr>
      <w:r>
        <w:rPr>
          <w:rFonts w:ascii="Arial" w:hAnsi="Arial" w:eastAsia="Arial" w:cs="Arial"/>
          <w:sz w:val="22"/>
          <w:szCs w:val="22"/>
        </w:rPr>
        <w:t>Does it distinguish RRP-relative from subjective or arbitrary?</w:t>
      </w:r>
    </w:p>
    <w:p>
      <w:pPr>
        <w:rPr>
          <w:rFonts w:ascii="Arial" w:hAnsi="Arial" w:eastAsia="Arial" w:cs="Arial"/>
          <w:sz w:val="22"/>
          <w:szCs w:val="22"/>
        </w:rPr>
        <w:widowControl/>
        <w:spacing w:after="40" w:before="0" w:line="240" w:lineRule="auto"/>
      </w:pPr>
      <w:r>
        <w:rPr>
          <w:rFonts w:ascii="Arial" w:hAnsi="Arial" w:eastAsia="Arial" w:cs="Arial"/>
          <w:sz w:val="22"/>
          <w:szCs w:val="22"/>
        </w:rPr>
        <w:t>Does it preserve target/model/residual discipline?</w:t>
      </w:r>
    </w:p>
    <w:p>
      <w:pPr>
        <w:rPr>
          <w:rFonts w:ascii="Arial" w:hAnsi="Arial" w:eastAsia="Arial" w:cs="Arial"/>
          <w:sz w:val="22"/>
          <w:szCs w:val="22"/>
        </w:rPr>
        <w:widowControl/>
        <w:spacing w:after="40" w:before="0" w:line="240" w:lineRule="auto"/>
      </w:pPr>
      <w:r>
        <w:rPr>
          <w:rFonts w:ascii="Arial" w:hAnsi="Arial" w:eastAsia="Arial" w:cs="Arial"/>
          <w:sz w:val="22"/>
          <w:szCs w:val="22"/>
        </w:rPr>
        <w:t>Does it avoid importing Part 2b knowledge, intelligence, and technical observation ladders as Part 2a definitions while preserving Paper 1b broad observation-as-bounded-registration language?</w:t>
      </w:r>
    </w:p>
    <w:p>
      <w:pPr>
        <w:rPr>
          <w:rFonts w:ascii="Arial" w:hAnsi="Arial" w:eastAsia="Arial" w:cs="Arial"/>
          <w:sz w:val="22"/>
          <w:szCs w:val="22"/>
        </w:rPr>
        <w:widowControl/>
        <w:spacing w:after="40" w:before="0" w:line="240" w:lineRule="auto"/>
      </w:pPr>
      <w:r>
        <w:rPr>
          <w:rFonts w:ascii="Arial" w:hAnsi="Arial" w:eastAsia="Arial" w:cs="Arial"/>
          <w:sz w:val="22"/>
          <w:szCs w:val="22"/>
        </w:rPr>
        <w:t>Does it treat the Locus Event Horizon as an ingress-boundary, not an edge of reality or performance descriptor?</w:t>
      </w:r>
    </w:p>
    <w:p>
      <w:pPr>
        <w:rPr>
          <w:rFonts w:ascii="Arial" w:hAnsi="Arial" w:eastAsia="Arial" w:cs="Arial"/>
          <w:sz w:val="22"/>
          <w:szCs w:val="22"/>
        </w:rPr>
        <w:widowControl/>
        <w:spacing w:after="40" w:before="0" w:line="240" w:lineRule="auto"/>
      </w:pPr>
      <w:r>
        <w:rPr>
          <w:rFonts w:ascii="Arial" w:hAnsi="Arial" w:eastAsia="Arial" w:cs="Arial"/>
          <w:sz w:val="22"/>
          <w:szCs w:val="22"/>
        </w:rPr>
        <w:t>Does it avoid importing older Part 2 drafts, exported full-series TEM material, or prior generated answers as conceptual source?</w:t>
      </w:r>
    </w:p>
    <w:p>
      <w:pPr>
        <w:widowControl/>
      </w:pPr>
      <w:r>
        <w:rPr>
          <w:rFonts w:ascii="Arial" w:hAnsi="Arial" w:eastAsia="Arial" w:cs="Arial"/>
          <w:sz w:val="22"/>
        </w:rPr>
        <w:t>Paper 1c check: are the relational index, local target, RAS, embodiment, reachability, Form, representation, and finite model kept distinct, with receiver-side formation and target-related error still explicit?</w:t>
      </w:r>
    </w:p>
    <w:p>
      <w:pPr>
        <w:widowControl/>
        <w:rPr>
          <w:rFonts w:ascii="Arial" w:hAnsi="Arial" w:eastAsia="Arial" w:cs="Arial"/>
          <w:sz w:val="22"/>
          <w:szCs w:val="22"/>
        </w:rPr>
      </w:pPr>
      <w:r>
        <w:rPr>
          <w:rFonts w:ascii="Arial" w:hAnsi="Arial" w:eastAsia="Arial" w:cs="Arial"/>
          <w:sz w:val="22"/>
          <w:szCs w:val="22"/>
        </w:rPr>
        <w:br w:type="page"/>
      </w: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 2b - Knowledge, Intelligence, and Observation</w:t>
      </w:r>
    </w:p>
    <w:p>
      <w:pPr>
        <w:widowControl/>
        <w:rPr>
          <w:rFonts w:ascii="Arial" w:hAnsi="Arial" w:eastAsia="Arial" w:cs="Arial"/>
          <w:sz w:val="22"/>
          <w:szCs w:val="22"/>
        </w:rPr>
      </w:pPr>
      <w:r>
        <w:rPr>
          <w:i/>
          <w:rFonts w:ascii="Arial" w:hAnsi="Arial" w:eastAsia="Arial" w:cs="Arial"/>
          <w:sz w:val="22"/>
          <w:szCs w:val="22"/>
        </w:rPr>
        <w:t>Internal Part 2b support section. Papers 2, 3, 4, 4a, 4b, and 4c govern this region and inherit the Part 2a informational architecture. All paper-number references in this section use the current sequential numbering.</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1. Purpose and canonical use rules</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 xml:space="preserve">This Part 2 Glossary records controlled vocabulary for Part 2b: Knowledge, Intelligence, and Observation. It prevents terminology drift as retained distinction, applied distinction, bounded registration, abstraction, perspective, scale, measurement, and observation-program descriptors move into support documents, edge-case audits, and later applications.</w:t>
      </w:r>
    </w:p>
    <w:p>
      <w:pPr>
        <w:rPr>
          <w:rFonts w:ascii="Arial" w:hAnsi="Arial" w:eastAsia="Arial" w:cs="Arial"/>
          <w:sz w:val="22"/>
          <w:szCs w:val="22"/>
        </w:rPr>
        <w:widowControl/>
        <w:spacing w:before="0" w:after="40" w:line="240" w:lineRule="auto"/>
      </w:pPr>
      <w:r>
        <w:rPr>
          <w:b w:val="0"/>
          <w:i w:val="0"/>
          <w:rFonts w:ascii="Arial" w:hAnsi="Arial" w:eastAsia="Arial" w:cs="Arial"/>
          <w:sz w:val="22"/>
          <w:szCs w:val="22"/>
        </w:rPr>
        <w:t>This document does not introduce new concepts, replace the canonical papers, or re-argue the sequence. A term is permitted only when its discriminator conditions, locus, reference conditions, canonical home, and principal guardrail remain visible.</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Paper 2 owns knowledge as retained distinction, RAS in the knowledge facet, TK, KIP, NTK, and the record-status/truth-status boundary.</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Paper 3 owns intelligence as applied distinction, finite branch-space, information provenance, passive and active intelligence, NTI, and producing/applying-locus discipline.</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Paper 4 owns observation as bounded registration, the observation ladder, observer-locus, Observer, Observer Event Horizon, and record-provenance.</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Paper 4a owns cut, abstraction regime, perspective, event-horizon profile, Abstraction Gap, relational uncertainty, and objectivity as correction.</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Paper 4b owns physical magnitude, reference scale, operative scale, scale-fixing, measurement, Scale Gap, cross-scale translation, and scalar objectivity.</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Paper 4c owns observation program, threshold/performance separation, the descriptor layer, and OH, CH, RF, OBW, OD, OG, ODr, OL, and OCx.</w:t>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2. Canonical ownership map</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3202"/>
        <w:gridCol w:w="6938"/>
        <w:gridCol w:w="4404"/>
      </w:tblGrid>
      <w:tr>
        <w:trPr>
          <w:cantSplit/>
          <w:tblHeader w:val="1"/>
        </w:trPr>
        <w:tc>
          <w:tcPr>
            <w:tcW w:type="dxa" w:w="32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w:t>
            </w:r>
          </w:p>
        </w:tc>
        <w:tc>
          <w:tcPr>
            <w:tcW w:type="dxa" w:w="6938"/>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region</w:t>
            </w:r>
          </w:p>
        </w:tc>
        <w:tc>
          <w:tcPr>
            <w:tcW w:type="dxa" w:w="4404"/>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Guardrail</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On the Origin of Knowledge</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 as retained distinction; RAS; TK, KIP, NTK; past-dependent present state; record-status versus truth, warrant, objectivity, and justification.</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define minimal knowledge as belief, semantic possession, conscious awareness, truth, or warrant.</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On the Origin of Intelligence</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Applied distinction; locus; branch-space; downstream trajectory selection; passive/active information; producing locus; passive/active intelligence; NTI.</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define intelligence by cognition, usefulness, success, resemblance, or later encounter; active provenance is fixed by production.</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On the Origin of Observation</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Bounded registration; OR event; RAS record; Pre-TO, TO, OIP, NTO; observer-locus; Observer; Observer Event Horizon; record-provenance.</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treat observation as certificate, interaction, signal reception, every record, or truth.</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The Limits of Observation</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Cut; abstraction regime; perspective; event-horizon profile; Abstraction Gap; relational uncertainty; correction of perspective.</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equate abstraction with failure, perspective with opinion, or objectivity with a view from nowhere.</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The Scale of Observation</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as stabilised comparability; physical magnitude; reference scale; operative scale; measurement; Scale Gap; scalar objectivity.</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reduce scale to size, unit, choice, or precision; do not collapse magnitude into observer-relative scale.</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The Operational Envelope of Observation</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program; descriptor layer; OH, CH, RF, OBW, OD, OG, ODr, OL, OCx; failure localisation.</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use descriptors before status, as alternate primitives, or as truth and warrant measures.</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internal Part 2a support section</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 RRP architecture, signal, finite-access realism, target/model/residual, local locus discipline, and the Paper 1c physical and derived relations.</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 xml:space="preserve">Use for inherited architecture and support alignment. Papers 2, 4a and 4c now include limited Paper 1c clarifications; the six Part 2b papers retain ownership of their facet statuses.</w:t>
            </w:r>
          </w:p>
        </w:tc>
      </w:tr>
      <w:tr>
        <w:trPr>
          <w:cantSplit/>
        </w:trPr>
        <w:tc>
          <w:tcPr>
            <w:tcW w:type="dxa" w:w="32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1 support stack</w:t>
            </w:r>
          </w:p>
        </w:tc>
        <w:tc>
          <w:tcPr>
            <w:tcW w:type="dxa" w:w="6938"/>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 NTC, BD, and IPL control.</w:t>
            </w:r>
          </w:p>
        </w:tc>
        <w:tc>
          <w:tcPr>
            <w:tcW w:type="dxa" w:w="4404"/>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import life-attribution classes or treat intelligence, observation, or NTO as life.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3. Controlled vocabulary</w:t>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A. Inherited architecture used by Part 2b</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Relative Reference Point (RRP)</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Situated reference node from which distinction evaluation becomes well-posed for a locus.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Inherited architecture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Indexes every Part 2b claim; relative does not mean subjective or arbitrary.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Locus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Unit relative to which retention, application, registration, perspective, scale, or program performance is evaluated.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Papers 2-4 | Localisation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local. Producing, carrying, applying, observing, institutional, and analyst loci may differ.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Reference conditions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Boundary, interface, scale, operational horizon, discrimination/noise regime, abstraction, retention, redeployment, comparator assumptions, and relevant branch-space under which a claim is evaluated.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all Part 2b papers | Evaluation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Reference conditions make a claim evaluable; they do not make it true.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Ontic Projection (OP)</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Available contrast field at an interface under specified reference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RRP Set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 OP means no available distinction for the evaluated locus.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Ontic Abstraction (OA)</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Classing regime by which available contrast is partitioned into registerable alternatives.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RRP Set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OA is required before OR; no classed alternative, no retained token.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Ontic Registration (OR)</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Event by which one OP-supported, OA-classed alternative becomes selected into state.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RRP Set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Primitive registration; in the observation facet OR is the observation event.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Registered Abstraction State (RAS)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OA-keyed retained token-state produced by OR from an OP-supported contrast field at a specified RRP and persisting over an operational horizon at a reference scale.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RRP Set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Canonical minimal knowledge carrier and observation record; not any persistent mark or residue. Embodiment is Paper 1c physical description of an earned RAS, not a competing carrier or stronger status.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Registered-State Deployment (RSD)</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Redeployment of retained distinction into later transition, inference, action, control, correction, registration, or branch-realisation.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RRP Set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downstream effect is not RSD unless it depends on the retained distinction.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Baseline Dynamics (BD)</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Intervention-defined comparator family preserving relevant context while disabling, scrambling, neutralising, resetting, bypass-controlling, or otherwise varying the organisation or pathway under test.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 Part 1 / Papers 2-4 | Comparator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BD is disciplined contrast, not nothing.</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Information Processing Locus (IPL)</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Organisation whose integrity is required for downstream trajectory selection to depend on the relevant distinction.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Inherited Part 1 / Papers 2-4 | Localisation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IPL is not consciousness, central control, or automatically the whole named system.</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Operational horizon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Specified test window over which persistence, consultability, outcomes, and status are evaluated.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Papers 2-4 / 4c | Evaluation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confuse with Observational Horizon, which is a measured performance limit.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Locus Event Horizon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Ingress-boundary beyond which external difference cannot become signal-bearing contrast capable of entering OP for a locus under the present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Access boundary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an edge of reality, a metaphysical limit, or Observational Horizon.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Explicit remainder between target relation and current record, model, abstraction, scale, comparator, or program account.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Papers 2, 4a-4c | Closure discipline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Residual prevents premature closure; it is not an explanation or hidden verdict.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Relational index</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Wider physical depth and extension within which local targets, loci, and access paths occur.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1c, headings 1.1-1.3 | Inherited physical ground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See Part 2a vocabulary E; not the reference index of a claim or the whole model possessed by a locus.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Embodiment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Physical instantiation of an OA-keyed retained abstraction already earned as RAS.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1c, heading 2.3 | Inherited description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Does not by itself establish active-information provenance, current application, or Observer status.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Relational Reachability</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Capacity to stabilise a target-relative relation from present organisation and a physically available scaffold.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1c, heading 2.4 | Inherited derived condition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KIP/OIP grounded RSD deployability, not realised operation, and not OH reliable program reach.</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Relational Form</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Distributed target-tracking relations, including physically supported potential, beyond any one carrier or finite model.</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1c, headings 3.1-3.4 and 7.1 | Inherited higher-scale description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 automatic single locus or distributed Observer. Do not shorten to RF.</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Relational propagation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Selective, causally grounded continuity through carriers and local reconstruction by receiving organisations.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1c, heading 4.2 | Inherited cross-locus account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Receiver availability, classing, retention, and application remain separate from producing provenance.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B. Knowledge and retained distinction</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Status of a prior distinction when it has been registered and retained as present accessible state under specified reference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Core definition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Minimal knowledge is retained distinction, not belief, semantics, truth, or warrant.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Retained distinction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Prior OP-supported, OA-classed alternative preserved in a re-identifiable OR-produced RAS over the relevant operational horizon.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Knowledge basis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Carrier persistence alone is insufficient.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Past-dependent present state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Present structure whose discriminable form depends on which prior alternative was registered.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Temporal relation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record is not the past itself and does not contain the target whole.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Trivial Knowledge (TK)</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Record-presence: an OA-keyed, OR-produced RAS exists and remains re-identifiable over the relevant operational horizon at the reference scale.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Knowledge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Technical “trivial” means no realised downstream dependence is yet required.</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Knowledge Inference Potential (KIP)</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Grounded deployability: a retained discriminator is embedded within, or coupled to, organisation that could consult it through an admissible RSD pathway, although no realised deployment has occurred.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Knowledge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Imagined future usefulness is not enough; consultability must be well-posed. Relational Reachability concerns forming a relation; KIP concerns grounded consultation of a retained discriminator.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Non-Trivial Knowledge (NTK)</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Realised deployment: a retained discriminator is actually redeployed through RSD so that later registration, transition, inference, action, control, or trajectory selection depends on which discriminator was present.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Knowledge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Strong NTK requires comparator-stable dependence; use does not establish truth or warrant.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Record-status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Status concerning whether a registered distinction is retained, deployable, or realised in use.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Status boundary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Keep separate from truth-status, objectivity, justification, and adequacy.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Truth-status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Evaluation of whether a retained distinction preserves the relation it purports to carry.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Stronger evaluation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false or corrupted record may still satisfy minimal knowledge-status.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Retained misrelation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Retained distinction whose preserved class, mapping, or target relation is erroneous or distorted under the relevant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Error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Error does not erase record-presence; it changes evaluative status.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Grounded consultability</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Physically, technically, biologically, socially, institutionally, or organisationally well-posed pathway by which a retained state could be accessed through RSD.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2 | KIP discriminator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External imaginable readability does not establish KIP for the focal locus.</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C. Intelligence, provenance, and application</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Intelligence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Application of distinction-conditioned organisation to alter downstream trajectory selection for a locus under specified reference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Core definition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Broader than cognition and narrower than usefulness.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Applied distinction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Distinction made operative so that which downstream branch is realised depends on the distinction.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Intelligence threshold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carrier does not define intelligence; the application does. Immediate, embodied, morphological, reactive, or currently registered application need not require durable retention (Paper 3, heading 3.3).</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Distinction-conditioned organisation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Organisation in which downstream transition depends on the discriminated alternative rather than carrier microdetail or background dynamics alone.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Mechanism</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Must be localised and comparator-answerable.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Branch-space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Field of alternative trajectories, states, outcomes, actions, classifications, repair paths, inhibitions, continuations, or later registrations available under the operative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Outcome field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Finite and RRP-indexed; not all logically imaginable possibilities.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Downstream trajectory selection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Differential realisation of later outcome classes because of distinction-conditioned organisation.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Application output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Selection does not require conscious choice.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 information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Found distinction arising from lawful physical evolution, available as OP for a locus, and not produced by prior NTC-level organisation as the relevant form.</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Provenance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useful natural structure is not intelligent merely because it shapes outcomes.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 information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Made distinction fixed into form by a producing locus through prior distinction-conditioned organisation under specified reference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Provenance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Production fixes status. Present use, later encounter, or continued existence of the producer is not required while the made distinction remains instantiated. An embodied RAS or Form membership alone does not prove the required producing-locus provenance.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Producing locus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Locus whose prior distinction-conditioned organisation produced, selected, shaped, retained, maintained, or redeployed the form that fixes active-information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Provenance localisation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May be different from the later applying locus.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Applying locus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Locus whose present branch-space is altered by the operative distinction.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Intelligence localisation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Later use creates a new application relation, not the original provenance.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 intelligence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Made distinction reused by a locus to alter downstream trajectory selection without recomputing the original selection problem.</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Intelligence relation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Passive does not mean inactive; the reuse is presently operative.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Active intelligence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Current distinction-conditioned organisation that searches, regulates, repairs, inhibits, reallocates, recalibrates, selects, or controls downstream branch-space.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Intelligence relation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infer from state change alone; show applied distinction.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Reduced recomputation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Reuse relation in which prior selection embodied in active information is carried forward without re-solving the original problem in full.</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Passive intelligence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Does not require zero new processing.</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Non-Trivial Intelligence (NTI)</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NTC under the intelligence facet: realised, comparator-stable application of distinction-conditioned organisation to downstream trajectory selection.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Non-trivial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a new primitive, mental substance, score, success, or resemblance claim.</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Provenance/use separation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Rule that the origin of a distinction and its present application are distinct relations that may involve different loci and times.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3 | Guardrail</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Prevents active-information provenance from being assigned by the later encounter.</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D. Observation and observer-status</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Bounded registration of available distinction through a locus-interface-regime under specified reference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Core definition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Broader than human perception and narrower than interaction; not a certificate or warrant.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event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OR event in which one OP-supported, OA-classed alternative becomes selected into state.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Event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Registration may be transient and remain below record-presence.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record</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RAS produced by the observation event and retained as a re-identifiable OA-keyed state over the operational horizon.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Record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record is not yet an observer-locus or Observer.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Pre-TO failure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Condition below persistent, re-identifiable OA-keyed record-presence.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Observation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May include coupling, signal reception, transient tokenisation, or physical alteration without TO.</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Trivial Observation (TO)</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Record-presence: OR yields an OA-keyed RAS that persists over the relevant horizon at the reference scale.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Observation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Does not require grounded consultability or realised redeployment.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Inference Potential (OIP)</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Grounded deployability: the retained observation record is embedded within, or coupled to, organisation that makes an admissible RSD pathway physically well-posed.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Observation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Supports observer-locus status; does not establish realised observation. OIP is grounded record deployability, not Paper 1c relation-formation reachability.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Non-Trivial Observation (NTO)</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Realised record-operativity: a prior OA-keyed RAS is actually redeployed through RSD as a controlling discriminator and downstream dependence is comparator-stable.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Observation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Supports Observer status; does not entail life, consciousness, or truth.</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observer-locus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OIP-status observation-capable organisation in which retained record has a grounded consultability pathway.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Observer-status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Lowercase term; capacity is not realised deployment.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Capitalised NTO condition in which retained record is actually redeployed as a controlling discriminator under comparator discipline.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Observer-status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Does not imply consciousness or unbounded access.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 Event Horizon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Observer-facet name for the upstream ingress limit beyond which difference cannot become available as signal-bearing contrast capable of entering OP for the observer-locus under the present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Access boundary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the edge of reality and not Observational Horizon. Nor does crossing it establish every higher-order relation as reachable.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Record-field</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Field, archive, or distributed collection of retained records.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Record architecture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 accumulation alone does not establish observer-locus or distributed Observer. A distributed Relational Form also does not by itself establish a shared operative locus.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chain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Sequence of registrations, records, consultability pathways, and possible RSD links distributed across one or more loci.</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Composite architecture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 each link; do not assume chain-level Observer status.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Record-provenance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bounded registration path by which a record was produced.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Epistemic boundary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gives provenance of record formation, not automatic truth, objectivity, or adequacy.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Strong observation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in which retained record is actually redeployed through RSD and makes comparator-stable downstream difference.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 | Strength relation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Equivalent to realised NTO in the observation facet, not mere record-presence.</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E. Abstraction, perspective, and objectivity</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cut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Elementary abstraction operation by which selected difference becomes registerable through boundary, channel, threshold, partition, equivalence relation, scale, sensor range, category, tokenisation, or model parameter.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Abstraction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cut admits and excludes; it is a condition of finite observation, not an accidental defect.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regime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Coordinated arrangement of cuts, thresholds, equivalence relations, saliences, records, categories, memory pathways, calibration practices, correction procedures, and inherited constraints through which relations become repeatedly registerable.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Makes registration repeatable and can make error durable.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Locus-level integration of an abstraction regime through which reality becomes registerable, retainable, redeployable, and correctable.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Locus architecture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 xml:space="preserve">Not private opinion, subjective attitude, or arbitrary construction. Also conditions formation from admitted contrast, distinct from ingress (Paper 4a, heading 2.4).</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Event-horizon profile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 xml:space="preserve">Perspective-level aggregation of the ingress limits of boundary, interface, channel, threshold, and scale conditions through which contrast can enter a locus under its present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Access profile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 xml:space="preserve">Does not add a new primitive beyond inherited event-horizon limits. Not Relational Reachability.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Observation-world</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Structured field of relations made registerable for a locus through its integrated perspective.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Perspective output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the total real and not merely fictional.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Gap</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Discrepancy between an OA-keyed registration, record, model, word, measurement, theory, rendering, category, or perspective and the fuller relational structure it compresses.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Gap</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identical with error; it is the structural space in which error can arise.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Relational uncertainty</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Uncertainty about whether a cut, abstraction regime, or perspective preserves the relation it claims to register under specified reference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Uncertainty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Localise the preservation question rather than globalising doubt.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Consequential miscompression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Error arising when omitted, compressed, misclassified, misweighted, over-stabilised, under-specified, or excluded relation becomes consequential for the claim or action.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Error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existence of compression alone is not error.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Disciplined correction of perspective under constraint.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Evaluation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abstraction-free access, a view from nowhere, total possession, or consensus alone.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Cross-locus correction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Comparison among differently situated perspectives to expose omissions, distortions, unstable cuts, and residual limits.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Correction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Agreement is evidence only where correction remains target-constrained.</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Correction pathway</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Mechanism by which a cut, regime, perspective, record, or claim can be tested, compared, revised, weakened, rejected, recalibrated, or replaced.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4a | Objectivity support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regime that cannot be corrected can stabilise error.</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F. Scale, measurement, and scalar objectivity</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Operative relational level at which a perspective stabilises differences into comparability for a locus.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Core definition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merely physical size, unit, analyst choice, or descriptive level.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Comparability</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Stable regime in which differences can be treated as belonging to a common relation of same/different, larger/smaller, before/after, stronger/weaker, or within/outside tolerance.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Scalar condition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 comparability, no disciplined measurement.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Physical magnitude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Domain-relative extent, intensity, duration, frequency, energy, density, velocity, force, temperature, complexity, information content, probability, concentration, or other measurable condition constrained by reality.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Reality-constrained condition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Magnitude may obtain whether or not a given locus can register it.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Reference scale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specified for evaluation within a claim, model, measurement, test, explanation, attribution, or comparator.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Methodological condition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States where the claim is made; naming a scale does not validate the claim.</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Operative scale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actually stabilised by a locus through its perspective, at which differences become registerable, comparable, retainable, redeployable, and correctable.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Achieved condition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Operative scale is achieved, not merely selected.</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Scalar alignment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Correspondence between the reference scale of a claim and an operative scale actually stabilised by the locus, instrument, model, institution, or method.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Adequacy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condition of scalar objectivity.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Scalar misalignment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Claim made at one scale while the operative relation belongs to another.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Failure condition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May arise under aggregation, individuation, reduction, inflation, or lateral transfer.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Scale-fixing</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Process by which a perspective stabilises boundary, channel, discrimination, salience, retention, redeployment, comparator, and correction into a coherent comparability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Scalar process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Perspective fixes scale because it fixes comparability.</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Measurement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Real relation registered through scale: context fixes RRP; interface supplies OP; measurement scale supplies OA; act performs OR; result becomes RAS; later use is RSD.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Registration pathway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Neither raw reading of reality nor mere invention.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Scale Gap</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Abstraction Gap under scalar misfit, where a relation is registered, interpreted, measured, modelled, explained, acted upon, or redeployed at a scale different from that at which its relevant constraints are stable.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Gap</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automatically error.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Scalar error</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Error occurring when what was averaged out, magnified, reduced, displaced, aggregated, individuated, or translated across scale becomes consequential for the claim.</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Error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Requires consequential scalar misfit, not difference of scale alone.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Cross-scale translation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Transfer of relation, record, model, or explanation between scales through an explicit mapping that preserves relevant constraints.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Translation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 automatic export from local to global, molecular to organismic, population to individual, or token to responsibility scale.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Scalar bridge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Specified relation, model, comparator, aggregation, decomposition, or intervention that justifies cross-scale transfer.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Translation discipline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A bridge must preserve the target relation under correction.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Scalar objectivity</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Objectivity requiring explicit reference scale, demonstrated operative scale, comparator pressure across scale, and residual discipline where alignment remains incomplete.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4b | Evaluation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Precision and repeatability alone do not establish scalar adequacy.</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G. Observation programs and operational envelope</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program</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Organised pathway of registration, retention, possible redeployment, and downstream readout indexed to a locus, boundary, interface, reference scale, operational horizon, discrimination/noise regime, and comparator family.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Program</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Operates inside an event-horizon profile and at an operative scale.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Threshold status</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Determination of whether the observation claim reaches Pre-TO, TO, OIP, or NTO.</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Status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Status first; descriptor grading second.</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Performance descriptor</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Derived measure of how an already specified observation program performs, degrades, or fails under stated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Descriptor layer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a new primitive or alternate path to observation-status.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Horizon (OH)</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Maximum extent over which an observer-locus or observation chain sustains reliable registration, and where claimed redeployment, under prevailing regime constraints at the reference scale.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Reach</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operational horizon, Observer Event Horizon, or an edge of reality. Relational Reachability is formation capacity under organisation and scaffold; OH grades a specified observation program.</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Counterfactual Horizon (CH)</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Range of interventions that remain operationally meaningful while preserving BD-style comparability and yielding discriminable differences in registration, redeployment, or outcomes.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Intervention range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the total space of imaginable alternatives; beyond CH the test relation is destroyed.</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Registration Fidelity (RF)</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Degree to which RAS alternatives reliably and reproducibly correspond to specified RRP-indexed OA-class distinctions under the prevailing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Reliability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Measures OA-to-RAS mapping, not truth or complete target adequacy. RF is reserved for this term; write Relational Form in full.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Bandwidth (OBW)</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Rate, density, or volume at which distinctions can be registered without unacceptable loss of reliability, persistence, or redeployability.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Throughput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High bandwidth does not establish observation-status, depth, gain, or intelligence.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Depth (OD)</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Effective number of realised consult-and-register links that remain counterfactually significant.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Chain depth</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the number of stored records or abstract hierarchy levels.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Gain (OG)</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Increase in downstream differentiation relative to comparator conditions once retained-discriminator dependence is established.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Consequence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Impact or usefulness alone is not OG.</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Drift (ODr)</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Gradual unintended or uncontrolled degradation of registration mapping or deployment stability over time or operation.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Stability</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deliberate recalibration or adaptive regime update.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Load (OL)</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Thermodynamic, material, informational, attentional, computational, institutional, or organisational cost of sustaining an observation-capable regime.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Cost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High load is not automatically inefficiency or failure; it must be related to capacity and performance.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Observational Collapse (OCx)</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Regime transition where content-driven registration or redeployment can no longer be maintained under prevailing reference conditions.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Collapse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Not any local error, low gain, narrow horizon, overload episode, or failed comparison.</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Failure localisation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Ordered identification of failure at OP, OA, OR, RAS, OIP, RSD, comparator-stable dependence, or a specific descriptor bound.</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Diagnosis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Observation failure is structured and should not be treated as one undifferentiated event.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Descriptor layer</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Set of OH, CH, RF, OBW, OD, OG, ODr, OL, and OCx as second-order measures over an observation program.</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 4c | Performance architecture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Does not replace RRP, OP, OA, OR, RAS, RSD, status ladders, BD, IPL, perspective, scale, or measurement.</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22"/>
          <w:szCs w:val="22"/>
        </w:rPr>
        <w:pStyle w:val="Heading2"/>
        <w:keepNext/>
        <w:widowControl/>
        <w:spacing w:before="40" w:after="20" w:line="240" w:lineRule="auto"/>
      </w:pPr>
      <w:r>
        <w:rPr>
          <w:b/>
          <w:i w:val="0"/>
          <w:color w:val="1F4E78"/>
          <w:rFonts w:ascii="Arial" w:hAnsi="Arial" w:eastAsia="Arial" w:cs="Arial"/>
          <w:sz w:val="24"/>
          <w:szCs w:val="22"/>
        </w:rPr>
        <w:t>H. Cross-facet and release-control terms</w:t>
      </w:r>
    </w:p>
    <w:tbl>
      <w:tblPr>
        <w:tblStyle w:val="TableGrid"/>
        <w:tblW w:type="dxa" w:w="14544"/>
        <w:jc w:val="center"/>
        <w:tblLayout w:type="fixed"/>
        <w:tblLook w:firstColumn="1" w:firstRow="1" w:lastColumn="0" w:lastRow="0" w:noHBand="0" w:noVBand="1" w:val="04A0"/>
        <w:tblBorders>
          <w:top w:val="single" w:sz="4" w:color="7F7F7F"/>
          <w:left w:val="single" w:sz="4" w:color="7F7F7F"/>
          <w:bottom w:val="single" w:sz="4" w:color="7F7F7F"/>
          <w:right w:val="single" w:sz="4" w:color="7F7F7F"/>
          <w:insideH w:val="single" w:sz="4" w:color="7F7F7F"/>
          <w:insideV w:val="single" w:sz="4" w:color="7F7F7F"/>
        </w:tblBorders>
      </w:tblPr>
      <w:tblGrid>
        <w:gridCol w:w="2669"/>
        <w:gridCol w:w="6271"/>
        <w:gridCol w:w="2802"/>
        <w:gridCol w:w="2802"/>
      </w:tblGrid>
      <w:tr>
        <w:trPr>
          <w:cantSplit/>
          <w:tblHeader w:val="1"/>
        </w:trPr>
        <w:tc>
          <w:tcPr>
            <w:tcW w:type="dxa" w:w="2669"/>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Term</w:t>
            </w:r>
          </w:p>
        </w:tc>
        <w:tc>
          <w:tcPr>
            <w:tcW w:type="dxa" w:w="6271"/>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Controlled definition</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Canonical home / type</w:t>
            </w:r>
          </w:p>
        </w:tc>
        <w:tc>
          <w:tcPr>
            <w:tcW w:type="dxa" w:w="2802"/>
            <w:vAlign w:val="center"/>
            <w:shd w:fill="D9EAF7" w:val="clear"/>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pPr>
            <w:r>
              <w:rPr>
                <w:i w:val="0"/>
                <w:rFonts w:ascii="Arial" w:hAnsi="Arial" w:eastAsia="Arial" w:cs="Arial"/>
                <w:sz w:val="20"/>
                <w:szCs w:val="20"/>
                <w:b/>
              </w:rPr>
              <w:t>Relationship and guardrail</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Facet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Explanatory emphasis placed on the shared architecture: retention for knowledge, application for intelligence, bounded registration for observation.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Papers 2-4 | Alignment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mechanism does not multiply; status vocabulary remains facet-specific.</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Facet drift</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Silent substitution of knowledge, intelligence, observation, abstraction, scale, or performance terms for one another.</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Support control | Failure mode</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State the focal question and canonical home before assigning status.</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Comparator-stable dependence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Downstream dependence that survives adequate intervention discipline targeted at the proposed discriminator or organisation.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Papers 2-4 / 4c | Strength</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Non-trivial claims should be weakened or deferred where comparator construction is inadequate.</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Local locus discipline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Rule that explanatory work cannot move silently between source, carrier, producing locus, applying locus, observer, institution, environment, or analyst.</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Part 2a / Papers 2-3 | Guardrail</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Redraw the locus only when the evaluated relation changes and state the transfer.</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Update condition</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Specified evidence, intervention, calibration, correction, scale bridge, or performance bound that would strengthen, weaken, or change the current classification.</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Support control / Part 3 handoff</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Do not hide unresolved conditions inside a verdict.</w:t>
            </w:r>
          </w:p>
        </w:tc>
      </w:tr>
      <w:tr>
        <w:trPr>
          <w:cantSplit/>
        </w:trPr>
        <w:tc>
          <w:tcPr>
            <w:tcW w:type="dxa" w:w="2669"/>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Issue 1 release state</w:t>
            </w:r>
          </w:p>
        </w:tc>
        <w:tc>
          <w:tcPr>
            <w:tcW w:type="dxa" w:w="6271"/>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The frozen support-stack state tied to exact released Issue 1 paper and support file instances.</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Release control</w:t>
            </w:r>
          </w:p>
        </w:tc>
        <w:tc>
          <w:tcPr>
            <w:tcW w:type="dxa" w:w="2802"/>
            <w:vAlign w:val="top"/>
            <w:tcMar>
              <w:top w:w="45" w:type="dxa"/>
              <w:start w:w="55" w:type="dxa"/>
              <w:bottom w:w="45" w:type="dxa"/>
              <w:end w:w="55" w:type="dxa"/>
            </w:tcMar>
            <w:tcBorders>
              <w:top w:val="single" w:sz="4" w:color="7F7F7F"/>
              <w:left w:val="single" w:sz="4" w:color="7F7F7F"/>
              <w:bottom w:val="single" w:sz="4" w:color="7F7F7F"/>
              <w:right w:val="single" w:sz="4" w:color="7F7F7F"/>
              <w:insideH w:val="single" w:sz="4" w:color="7F7F7F"/>
              <w:insideV w:val="single" w:sz="4" w:color="7F7F7F"/>
            </w:tcBorders>
          </w:tcPr>
          <w:p>
            <w:pPr>
              <w:rPr>
                <w:rFonts w:ascii="Arial" w:hAnsi="Arial" w:eastAsia="Arial" w:cs="Arial"/>
                <w:sz w:val="20"/>
                <w:szCs w:val="20"/>
              </w:rPr>
              <w:spacing w:after="0" w:line="240" w:lineRule="auto"/>
            </w:pPr>
            <w:r>
              <w:rPr>
                <w:b w:val="0"/>
                <w:i w:val="0"/>
                <w:rFonts w:ascii="Arial" w:hAnsi="Arial" w:eastAsia="Arial" w:cs="Arial"/>
                <w:sz w:val="20"/>
                <w:szCs w:val="20"/>
              </w:rPr>
              <w:t xml:space="preserve">Current paper locks appear in 0.1; predecessor-support locks appear in 0.2. The companion manifest distinguishes recalculated full SHA-256 digests from unchanged recorded paper locks not reverified here. Historical predecessor values remain evidence only.</w:t>
            </w:r>
          </w:p>
        </w:tc>
      </w:tr>
    </w:tbl>
    <w:p>
      <w:pPr>
        <w:rPr>
          <w:rFonts w:ascii="Arial" w:hAnsi="Arial" w:eastAsia="Arial" w:cs="Arial"/>
          <w:sz w:val="22"/>
          <w:szCs w:val="22"/>
        </w:rPr>
        <w:widowControl/>
        <w:spacing w:before="0" w:after="0" w:line="240" w:lineRule="auto"/>
        <w:keepNext/>
      </w:pPr>
      <w:r>
        <w:rPr>
          <w:rFonts w:ascii="Arial" w:hAnsi="Arial" w:eastAsia="Arial" w:cs="Arial"/>
          <w:sz w:val="22"/>
        </w:rPr>
      </w:r>
    </w:p>
    <w:p>
      <w:pPr>
        <w:rPr>
          <w:rFonts w:ascii="Arial" w:hAnsi="Arial" w:eastAsia="Arial" w:cs="Arial"/>
          <w:sz w:val="30"/>
          <w:szCs w:val="30"/>
          <w:b w:val="1"/>
          <w:color w:val="1F4E79"/>
        </w:rPr>
        <w:widowControl/>
        <w:spacing w:before="60" w:after="40" w:line="240" w:lineRule="auto"/>
        <w:pStyle w:val="Heading1"/>
        <w:keepNext/>
        <w:keepLines/>
      </w:pPr>
      <w:r>
        <w:rPr>
          <w:i w:val="0"/>
          <w:rFonts w:ascii="Arial" w:hAnsi="Arial" w:eastAsia="Arial" w:cs="Arial"/>
          <w:sz w:val="30"/>
          <w:szCs w:val="30"/>
          <w:b w:val="1"/>
          <w:color w:val="1F4E79"/>
        </w:rPr>
        <w:t>4. Release-use rules</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t>• Use the relevant canonical paper for contested definitions: the six Part 2b papers for local facets and the four Part 2a papers for inherited architecture. This glossary supplies controlled shorthand, not a replacement definition.</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State the relevant locus and reference conditions whenever a term could transfer between source, carrier, producer, user, observer, institution, or analyst.</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Preserve active-information provenance at the producing locus even when the producer is absent at later encounter.</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r>
      <w:r>
        <w:rPr>
          <w:rFonts w:ascii="Arial" w:hAnsi="Arial" w:eastAsia="Arial" w:cs="Arial"/>
          <w:sz w:val="22"/>
          <w:szCs w:val="22"/>
        </w:rPr>
        <w:t>• Keep gap, error, uncertainty, residual, threshold, descriptor, and warrant terms distinct.</w:t>
      </w:r>
    </w:p>
    <w:p>
      <w:pPr>
        <w:rPr>
          <w:rFonts w:ascii="Arial" w:hAnsi="Arial" w:eastAsia="Arial" w:cs="Arial"/>
          <w:sz w:val="22"/>
          <w:szCs w:val="22"/>
        </w:rPr>
        <w:widowControl/>
        <w:spacing w:before="0" w:after="20" w:line="240" w:lineRule="auto"/>
        <w:ind w:left="216" w:hanging="144"/>
      </w:pPr>
      <w:r>
        <w:rPr>
          <w:b w:val="0"/>
          <w:i w:val="0"/>
          <w:rFonts w:ascii="Arial" w:hAnsi="Arial" w:eastAsia="Arial" w:cs="Arial"/>
          <w:sz w:val="22"/>
          <w:szCs w:val="22"/>
        </w:rPr>
        <w:t>• This is the final Issue 1 control state. Use the released paper identities and current source locks in 0.1, the directional support-control chain in 0.2 and the companion SHA-256 manifest. Any saved edit requires a new digest and downstream reconciliation.</w:t>
      </w:r>
    </w:p>
    <w:p>
      <w:pPr>
        <w:widowControl/>
        <w:rPr>
          <w:rFonts w:ascii="Arial" w:hAnsi="Arial" w:eastAsia="Arial" w:cs="Arial"/>
          <w:sz w:val="22"/>
          <w:szCs w:val="22"/>
        </w:rPr>
      </w:pPr>
    </w:p>
    <w:p>
      <w:pPr>
        <w:widowControl/>
        <w:rPr>
          <w:rFonts w:ascii="Arial" w:hAnsi="Arial" w:eastAsia="Arial" w:cs="Arial"/>
          <w:sz w:val="30"/>
          <w:szCs w:val="30"/>
          <w:b w:val="1"/>
          <w:color w:val="1F4E79"/>
        </w:rPr>
        <w:pStyle w:val="Heading1"/>
        <w:keepNext/>
        <w:keepLines/>
      </w:pPr>
      <w:r>
        <w:rPr>
          <w:rFonts w:ascii="Arial" w:hAnsi="Arial" w:eastAsia="Arial" w:cs="Arial"/>
          <w:sz w:val="30"/>
          <w:szCs w:val="30"/>
          <w:b w:val="1"/>
          <w:color w:val="1F4E79"/>
        </w:rPr>
        <w:t>Part-level consolidation note</w:t>
      </w:r>
    </w:p>
    <w:p>
      <w:pPr>
        <w:widowControl/>
        <w:rPr>
          <w:rFonts w:ascii="Arial" w:hAnsi="Arial" w:eastAsia="Arial" w:cs="Arial"/>
          <w:sz w:val="22"/>
          <w:szCs w:val="22"/>
        </w:rPr>
      </w:pPr>
      <w:r>
        <w:rPr>
          <w:rFonts w:ascii="Arial" w:hAnsi="Arial" w:eastAsia="Arial" w:cs="Arial"/>
          <w:sz w:val="22"/>
          <w:szCs w:val="22"/>
        </w:rPr>
        <w:t xml:space="preserve">Historical consolidation and the 23 September 2026 Pass 1 integration of Paper 1c are retained. This Issue 1 reconciliation aligns the event-horizon profile and Perspective relationship note with revised Paper 4a and records the limited integrations in Papers 2, 4a and 4c. All other vocabulary definitions, canonical homes, record order, control ID and both internal regions are preserved. Source and predecessor-support locks are reconciled within the verification scope in 0.1; no further paper edits are made.</w:t>
      </w:r>
    </w:p>
    <w:sectPr>
      <w:headerReference w:type="default" r:id="rId9"/>
      <w:footerReference w:type="default" r:id="rId10"/>
      <w:headerReference w:type="first" r:id="rId11"/>
      <w:footerReference w:type="first" r:id="rId12"/>
      <w:headerReference w:type="even" r:id="rId13"/>
      <w:footerReference w:type="even" r:id="rId14"/>
      <w:pgSz w:w="15840" w:h="12240" w:orient="landscape"/>
      <w:pgMar w:top="648" w:right="648" w:bottom="648" w:left="64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rFonts w:ascii="Arial" w:hAnsi="Arial" w:eastAsia="Arial" w:cs="Arial"/>
        <w:sz w:val="18"/>
        <w:szCs w:val="18"/>
      </w:rPr>
      <w:t>Secondary to canonical papers. Primary papers govern technical use.</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footer3.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center"/>
    </w:pPr>
    <w:r>
      <w:rPr>
        <w:rFonts w:ascii="Arial" w:hAnsi="Arial" w:eastAsia="Arial" w:cs="Arial"/>
        <w:sz w:val="18"/>
        <w:szCs w:val="18"/>
      </w:rPr>
      <w:t>Part 2 (2a-2b) | P2-2A2B-SD02-GLOSSARY | Issue 1</w:t>
    </w:r>
  </w:p>
  <w:p>
    <w:pPr>
      <w:jc w:val="center"/>
    </w:pPr>
    <w:r>
      <w:rPr>
        <w:rFonts w:ascii="Arial" w:hAnsi="Arial" w:eastAsia="Arial" w:cs="Arial"/>
        <w:sz w:val="18"/>
        <w:szCs w:val="18"/>
      </w:rPr>
      <w:t>Secondary to canonical papers. Primary papers govern technical use.</w: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header3.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eastAsia="Arial" w:cs="Arial"/>
      <w:sz w:val="22"/>
      <w:szCs w:val="22"/>
    </w:rPr>
  </w:style>
  <w:style w:type="paragraph" w:styleId="Header">
    <w:rPr>
      <w:rFonts w:ascii="Arial" w:hAnsi="Arial" w:eastAsia="Arial" w:cs="Arial"/>
      <w:sz w:val="18"/>
      <w:szCs w:val="18"/>
    </w:rP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rPr>
      <w:rFonts w:ascii="Arial" w:hAnsi="Arial" w:eastAsia="Arial" w:cs="Arial"/>
      <w:sz w:val="22"/>
      <w:szCs w:val="22"/>
    </w:rPr>
    <w:name w:val="Header Char"/>
    <w:basedOn w:val="DefaultParagraphFont"/>
    <w:link w:val="Header"/>
    <w:uiPriority w:val="99"/>
    <w:rsid w:val="00E618BF"/>
  </w:style>
  <w:style w:type="paragraph" w:styleId="Footer">
    <w:rPr>
      <w:rFonts w:ascii="Arial" w:hAnsi="Arial" w:eastAsia="Arial" w:cs="Arial"/>
      <w:sz w:val="18"/>
      <w:szCs w:val="18"/>
    </w:rP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rPr>
      <w:rFonts w:ascii="Arial" w:hAnsi="Arial" w:eastAsia="Arial" w:cs="Arial"/>
      <w:sz w:val="22"/>
      <w:szCs w:val="22"/>
    </w:rP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b/>
      <w:bCs/>
      <w:color w:val="1F4E79"/>
      <w:rFonts w:ascii="Arial" w:hAnsi="Arial" w:eastAsia="Arial" w:cs="Arial"/>
      <w:sz w:val="30"/>
      <w:szCs w:val="30"/>
    </w:rPr>
  </w:style>
  <w:style w:type="paragraph" w:styleId="Heading2">
    <w:name w:val="heading 2"/>
    <w:basedOn w:val="Normal"/>
    <w:next w:val="Normal"/>
    <w:link w:val="Heading2Char"/>
    <w:uiPriority w:val="9"/>
    <w:unhideWhenUsed/>
    <w:qFormat/>
    <w:rsid w:val="00FC693F"/>
    <w:pPr>
      <w:keepNext/>
      <w:keepLines/>
      <w:spacing w:before="200" w:after="0"/>
      <w:outlineLvl w:val="1"/>
    </w:pPr>
    <w:rPr>
      <w:b/>
      <w:bCs/>
      <w:color w:val="1F4E79"/>
      <w:rFonts w:ascii="Arial" w:hAnsi="Arial" w:eastAsia="Arial" w:cs="Arial"/>
      <w:sz w:val="24"/>
      <w:szCs w:val="24"/>
    </w:rPr>
  </w:style>
  <w:style w:type="paragraph" w:styleId="Heading3">
    <w:name w:val="heading 3"/>
    <w:basedOn w:val="Normal"/>
    <w:next w:val="Normal"/>
    <w:link w:val="Heading3Char"/>
    <w:uiPriority w:val="9"/>
    <w:unhideWhenUsed/>
    <w:qFormat/>
    <w:rsid w:val="00FC693F"/>
    <w:pPr>
      <w:keepNext/>
      <w:keepLines/>
      <w:spacing w:before="200" w:after="0"/>
      <w:outlineLvl w:val="2"/>
    </w:pPr>
    <w:rPr>
      <w:b/>
      <w:bCs/>
      <w:color w:val="1F4E79"/>
      <w:rFonts w:ascii="Arial" w:hAnsi="Arial" w:eastAsia="Arial" w:cs="Arial"/>
      <w:sz w:val="22"/>
      <w:szCs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b/>
      <w:bCs/>
      <w:i/>
      <w:iCs/>
      <w:color w:val="4F81BD" w:themeColor="accent1"/>
      <w:rFonts w:ascii="Arial" w:hAnsi="Arial" w:eastAsia="Arial" w:cs="Arial"/>
      <w:sz w:val="22"/>
      <w:szCs w:val="22"/>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color w:val="243F60" w:themeColor="accent1" w:themeShade="7F"/>
      <w:rFonts w:ascii="Arial" w:hAnsi="Arial" w:eastAsia="Arial" w:cs="Arial"/>
      <w:sz w:val="22"/>
      <w:szCs w:val="22"/>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i/>
      <w:iCs/>
      <w:color w:val="243F60" w:themeColor="accent1" w:themeShade="7F"/>
      <w:rFonts w:ascii="Arial" w:hAnsi="Arial" w:eastAsia="Arial" w:cs="Arial"/>
      <w:sz w:val="22"/>
      <w:szCs w:val="22"/>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i/>
      <w:iCs/>
      <w:color w:val="404040" w:themeColor="text1" w:themeTint="BF"/>
      <w:rFonts w:ascii="Arial" w:hAnsi="Arial" w:eastAsia="Arial" w:cs="Arial"/>
      <w:sz w:val="22"/>
      <w:szCs w:val="22"/>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color w:val="4F81BD" w:themeColor="accent1"/>
      <w:rFonts w:ascii="Arial" w:hAnsi="Arial" w:eastAsia="Arial" w:cs="Arial"/>
      <w:sz w:val="22"/>
      <w:szCs w:val="22"/>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i/>
      <w:iCs/>
      <w:color w:val="404040" w:themeColor="text1" w:themeTint="BF"/>
      <w:rFonts w:ascii="Arial" w:hAnsi="Arial" w:eastAsia="Arial" w:cs="Arial"/>
      <w:sz w:val="22"/>
      <w:szCs w:val="22"/>
    </w:rPr>
  </w:style>
  <w:style w:type="character" w:default="1" w:styleId="DefaultParagraphFont">
    <w:rPr>
      <w:rFonts w:ascii="Arial" w:hAnsi="Arial" w:eastAsia="Arial" w:cs="Arial"/>
      <w:sz w:val="22"/>
      <w:szCs w:val="22"/>
    </w:rPr>
    <w:name w:val="Default Paragraph Font"/>
    <w:uiPriority w:val="1"/>
    <w:semiHidden/>
    <w:unhideWhenUsed/>
  </w:style>
  <w:style w:type="table" w:default="1" w:styleId="TableNormal">
    <w:rPr>
      <w:rFonts w:ascii="Arial" w:hAnsi="Arial" w:eastAsia="Arial" w:cs="Arial"/>
      <w:sz w:val="22"/>
      <w:szCs w:val="22"/>
    </w:rPr>
    <w:name w:val="Normal Table"/>
    <w:uiPriority w:val="99"/>
    <w:semiHidden/>
    <w:unhideWhenUsed/>
    <w:tblPr>
      <w:tblInd w:w="0" w:type="dxa"/>
      <w:tblCellMar>
        <w:top w:w="0" w:type="dxa"/>
        <w:left w:w="108" w:type="dxa"/>
        <w:bottom w:w="0" w:type="dxa"/>
        <w:right w:w="108" w:type="dxa"/>
      </w:tblCellMar>
    </w:tblPr>
  </w:style>
  <w:style w:type="numbering" w:default="1" w:styleId="NoList">
    <w:rPr>
      <w:rFonts w:ascii="Arial" w:hAnsi="Arial" w:eastAsia="Arial" w:cs="Arial"/>
      <w:sz w:val="22"/>
      <w:szCs w:val="22"/>
    </w:rPr>
    <w:name w:val="No List"/>
    <w:uiPriority w:val="99"/>
    <w:semiHidden/>
    <w:unhideWhenUsed/>
  </w:style>
  <w:style w:type="paragraph" w:styleId="NoSpacing">
    <w:rPr>
      <w:rFonts w:ascii="Arial" w:hAnsi="Arial" w:eastAsia="Arial" w:cs="Arial"/>
      <w:sz w:val="22"/>
      <w:szCs w:val="22"/>
    </w:rPr>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b/>
      <w:bCs/>
      <w:color w:val="365F91" w:themeColor="accent1" w:themeShade="BF"/>
      <w:rFonts w:ascii="Arial" w:hAnsi="Arial" w:eastAsia="Arial" w:cs="Arial"/>
      <w:sz w:val="22"/>
      <w:szCs w:val="22"/>
    </w:rPr>
  </w:style>
  <w:style w:type="character" w:customStyle="1" w:styleId="Heading2Char">
    <w:name w:val="Heading 2 Char"/>
    <w:basedOn w:val="DefaultParagraphFont"/>
    <w:link w:val="Heading2"/>
    <w:uiPriority w:val="9"/>
    <w:rsid w:val="00FC693F"/>
    <w:rPr>
      <w:b/>
      <w:bCs/>
      <w:color w:val="4F81BD" w:themeColor="accent1"/>
      <w:rFonts w:ascii="Arial" w:hAnsi="Arial" w:eastAsia="Arial" w:cs="Arial"/>
      <w:sz w:val="22"/>
      <w:szCs w:val="22"/>
    </w:rPr>
  </w:style>
  <w:style w:type="character" w:customStyle="1" w:styleId="Heading3Char">
    <w:name w:val="Heading 3 Char"/>
    <w:basedOn w:val="DefaultParagraphFont"/>
    <w:link w:val="Heading3"/>
    <w:uiPriority w:val="9"/>
    <w:rsid w:val="00FC693F"/>
    <w:rPr>
      <w:b/>
      <w:bCs/>
      <w:color w:val="4F81BD" w:themeColor="accent1"/>
      <w:rFonts w:ascii="Arial" w:hAnsi="Arial" w:eastAsia="Arial" w:cs="Arial"/>
      <w:sz w:val="22"/>
      <w:szCs w:val="22"/>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b/>
      <w:color w:val="17365D" w:themeColor="text2" w:themeShade="BF"/>
      <w:spacing w:val="5"/>
      <w:kern w:val="28"/>
      <w:rFonts w:ascii="Arial" w:hAnsi="Arial" w:eastAsia="Arial" w:cs="Arial"/>
      <w:sz w:val="40"/>
      <w:szCs w:val="40"/>
    </w:rPr>
  </w:style>
  <w:style w:type="character" w:customStyle="1" w:styleId="TitleChar">
    <w:name w:val="Title Char"/>
    <w:basedOn w:val="DefaultParagraphFont"/>
    <w:link w:val="Title"/>
    <w:uiPriority w:val="10"/>
    <w:rsid w:val="00FC693F"/>
    <w:rPr>
      <w:color w:val="17365D" w:themeColor="text2" w:themeShade="BF"/>
      <w:spacing w:val="5"/>
      <w:kern w:val="28"/>
      <w:rFonts w:ascii="Arial" w:hAnsi="Arial" w:eastAsia="Arial" w:cs="Arial"/>
      <w:sz w:val="22"/>
      <w:szCs w:val="22"/>
    </w:rPr>
  </w:style>
  <w:style w:type="paragraph" w:styleId="Subtitle">
    <w:name w:val="Subtitle"/>
    <w:basedOn w:val="Normal"/>
    <w:next w:val="Normal"/>
    <w:link w:val="SubtitleChar"/>
    <w:uiPriority w:val="11"/>
    <w:qFormat/>
    <w:rsid w:val="00FC693F"/>
    <w:pPr>
      <w:numPr>
        <w:ilvl w:val="1"/>
      </w:numPr>
    </w:pPr>
    <w:rPr>
      <w:i/>
      <w:iCs/>
      <w:color w:val="4F81BD" w:themeColor="accent1"/>
      <w:spacing w:val="15"/>
      <w:rFonts w:ascii="Arial" w:hAnsi="Arial" w:eastAsia="Arial" w:cs="Arial"/>
      <w:sz w:val="22"/>
      <w:szCs w:val="22"/>
    </w:rPr>
  </w:style>
  <w:style w:type="character" w:customStyle="1" w:styleId="SubtitleChar">
    <w:name w:val="Subtitle Char"/>
    <w:basedOn w:val="DefaultParagraphFont"/>
    <w:link w:val="Subtitle"/>
    <w:uiPriority w:val="11"/>
    <w:rsid w:val="00FC693F"/>
    <w:rPr>
      <w:i/>
      <w:iCs/>
      <w:color w:val="4F81BD" w:themeColor="accent1"/>
      <w:spacing w:val="15"/>
      <w:rFonts w:ascii="Arial" w:hAnsi="Arial" w:eastAsia="Arial" w:cs="Arial"/>
      <w:sz w:val="22"/>
      <w:szCs w:val="22"/>
    </w:rPr>
  </w:style>
  <w:style w:type="paragraph" w:styleId="ListParagraph">
    <w:rPr>
      <w:rFonts w:ascii="Arial" w:hAnsi="Arial" w:eastAsia="Arial" w:cs="Arial"/>
      <w:sz w:val="22"/>
      <w:szCs w:val="22"/>
    </w:rPr>
    <w:name w:val="List Paragraph"/>
    <w:basedOn w:val="Normal"/>
    <w:uiPriority w:val="34"/>
    <w:qFormat/>
    <w:rsid w:val="00FC693F"/>
    <w:pPr>
      <w:ind w:left="720"/>
      <w:contextualSpacing/>
    </w:pPr>
  </w:style>
  <w:style w:type="paragraph" w:styleId="BodyText">
    <w:rPr>
      <w:rFonts w:ascii="Arial" w:hAnsi="Arial" w:eastAsia="Arial" w:cs="Arial"/>
      <w:sz w:val="22"/>
      <w:szCs w:val="22"/>
    </w:rPr>
    <w:name w:val="Body Text"/>
    <w:basedOn w:val="Normal"/>
    <w:link w:val="BodyTextChar"/>
    <w:uiPriority w:val="99"/>
    <w:unhideWhenUsed/>
    <w:rsid w:val="00AA1D8D"/>
    <w:pPr>
      <w:spacing w:after="120"/>
    </w:pPr>
  </w:style>
  <w:style w:type="character" w:customStyle="1" w:styleId="BodyTextChar">
    <w:rPr>
      <w:rFonts w:ascii="Arial" w:hAnsi="Arial" w:eastAsia="Arial" w:cs="Arial"/>
      <w:sz w:val="22"/>
      <w:szCs w:val="22"/>
    </w:rPr>
    <w:name w:val="Body Text Char"/>
    <w:basedOn w:val="DefaultParagraphFont"/>
    <w:link w:val="BodyText"/>
    <w:uiPriority w:val="99"/>
    <w:rsid w:val="00AA1D8D"/>
  </w:style>
  <w:style w:type="paragraph" w:styleId="BodyText2">
    <w:rPr>
      <w:rFonts w:ascii="Arial" w:hAnsi="Arial" w:eastAsia="Arial" w:cs="Arial"/>
      <w:sz w:val="22"/>
      <w:szCs w:val="22"/>
    </w:rPr>
    <w:name w:val="Body Text 2"/>
    <w:basedOn w:val="Normal"/>
    <w:link w:val="BodyText2Char"/>
    <w:uiPriority w:val="99"/>
    <w:unhideWhenUsed/>
    <w:rsid w:val="00AA1D8D"/>
    <w:pPr>
      <w:spacing w:after="120" w:line="480" w:lineRule="auto"/>
    </w:pPr>
  </w:style>
  <w:style w:type="character" w:customStyle="1" w:styleId="BodyText2Char">
    <w:rPr>
      <w:rFonts w:ascii="Arial" w:hAnsi="Arial" w:eastAsia="Arial" w:cs="Arial"/>
      <w:sz w:val="22"/>
      <w:szCs w:val="22"/>
    </w:rP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rFonts w:ascii="Arial" w:hAnsi="Arial" w:eastAsia="Arial" w:cs="Arial"/>
      <w:sz w:val="22"/>
      <w:szCs w:val="22"/>
    </w:rPr>
  </w:style>
  <w:style w:type="character" w:customStyle="1" w:styleId="BodyText3Char">
    <w:name w:val="Body Text 3 Char"/>
    <w:basedOn w:val="DefaultParagraphFont"/>
    <w:link w:val="BodyText3"/>
    <w:uiPriority w:val="99"/>
    <w:rsid w:val="00AA1D8D"/>
    <w:rPr>
      <w:rFonts w:ascii="Arial" w:hAnsi="Arial" w:eastAsia="Arial" w:cs="Arial"/>
      <w:sz w:val="22"/>
      <w:szCs w:val="22"/>
    </w:rPr>
  </w:style>
  <w:style w:type="paragraph" w:styleId="List">
    <w:rPr>
      <w:rFonts w:ascii="Arial" w:hAnsi="Arial" w:eastAsia="Arial" w:cs="Arial"/>
      <w:sz w:val="22"/>
      <w:szCs w:val="22"/>
    </w:rPr>
    <w:name w:val="List"/>
    <w:basedOn w:val="Normal"/>
    <w:uiPriority w:val="99"/>
    <w:unhideWhenUsed/>
    <w:rsid w:val="00AA1D8D"/>
    <w:pPr>
      <w:ind w:left="360" w:hanging="360"/>
      <w:contextualSpacing/>
    </w:pPr>
  </w:style>
  <w:style w:type="paragraph" w:styleId="List2">
    <w:rPr>
      <w:rFonts w:ascii="Arial" w:hAnsi="Arial" w:eastAsia="Arial" w:cs="Arial"/>
      <w:sz w:val="22"/>
      <w:szCs w:val="22"/>
    </w:rPr>
    <w:name w:val="List 2"/>
    <w:basedOn w:val="Normal"/>
    <w:uiPriority w:val="99"/>
    <w:unhideWhenUsed/>
    <w:rsid w:val="00326F90"/>
    <w:pPr>
      <w:ind w:left="720" w:hanging="360"/>
      <w:contextualSpacing/>
    </w:pPr>
  </w:style>
  <w:style w:type="paragraph" w:styleId="List3">
    <w:rPr>
      <w:rFonts w:ascii="Arial" w:hAnsi="Arial" w:eastAsia="Arial" w:cs="Arial"/>
      <w:sz w:val="22"/>
      <w:szCs w:val="22"/>
    </w:rPr>
    <w:name w:val="List 3"/>
    <w:basedOn w:val="Normal"/>
    <w:uiPriority w:val="99"/>
    <w:unhideWhenUsed/>
    <w:rsid w:val="00326F90"/>
    <w:pPr>
      <w:ind w:left="1080" w:hanging="360"/>
      <w:contextualSpacing/>
    </w:pPr>
  </w:style>
  <w:style w:type="paragraph" w:styleId="ListBullet">
    <w:rPr>
      <w:rFonts w:ascii="Arial" w:hAnsi="Arial" w:eastAsia="Arial" w:cs="Arial"/>
      <w:sz w:val="22"/>
      <w:szCs w:val="22"/>
    </w:rPr>
    <w:name w:val="List Bullet"/>
    <w:basedOn w:val="Normal"/>
    <w:uiPriority w:val="99"/>
    <w:unhideWhenUsed/>
    <w:rsid w:val="00326F90"/>
    <w:pPr>
      <w:numPr>
        <w:numId w:val="1"/>
      </w:numPr>
      <w:contextualSpacing/>
    </w:pPr>
  </w:style>
  <w:style w:type="paragraph" w:styleId="ListBullet2">
    <w:rPr>
      <w:rFonts w:ascii="Arial" w:hAnsi="Arial" w:eastAsia="Arial" w:cs="Arial"/>
      <w:sz w:val="22"/>
      <w:szCs w:val="22"/>
    </w:rPr>
    <w:name w:val="List Bullet 2"/>
    <w:basedOn w:val="Normal"/>
    <w:uiPriority w:val="99"/>
    <w:unhideWhenUsed/>
    <w:rsid w:val="00326F90"/>
    <w:pPr>
      <w:numPr>
        <w:numId w:val="2"/>
      </w:numPr>
      <w:contextualSpacing/>
    </w:pPr>
  </w:style>
  <w:style w:type="paragraph" w:styleId="ListBullet3">
    <w:rPr>
      <w:rFonts w:ascii="Arial" w:hAnsi="Arial" w:eastAsia="Arial" w:cs="Arial"/>
      <w:sz w:val="22"/>
      <w:szCs w:val="22"/>
    </w:rPr>
    <w:name w:val="List Bullet 3"/>
    <w:basedOn w:val="Normal"/>
    <w:uiPriority w:val="99"/>
    <w:unhideWhenUsed/>
    <w:rsid w:val="00326F90"/>
    <w:pPr>
      <w:numPr>
        <w:numId w:val="3"/>
      </w:numPr>
      <w:contextualSpacing/>
    </w:pPr>
  </w:style>
  <w:style w:type="paragraph" w:styleId="ListNumber">
    <w:rPr>
      <w:rFonts w:ascii="Arial" w:hAnsi="Arial" w:eastAsia="Arial" w:cs="Arial"/>
      <w:sz w:val="22"/>
      <w:szCs w:val="22"/>
    </w:rPr>
    <w:name w:val="List Number"/>
    <w:basedOn w:val="Normal"/>
    <w:uiPriority w:val="99"/>
    <w:unhideWhenUsed/>
    <w:rsid w:val="00326F90"/>
    <w:pPr>
      <w:numPr>
        <w:numId w:val="5"/>
      </w:numPr>
      <w:contextualSpacing/>
    </w:pPr>
  </w:style>
  <w:style w:type="paragraph" w:styleId="ListNumber2">
    <w:rPr>
      <w:rFonts w:ascii="Arial" w:hAnsi="Arial" w:eastAsia="Arial" w:cs="Arial"/>
      <w:sz w:val="22"/>
      <w:szCs w:val="22"/>
    </w:rPr>
    <w:name w:val="List Number 2"/>
    <w:basedOn w:val="Normal"/>
    <w:uiPriority w:val="99"/>
    <w:unhideWhenUsed/>
    <w:rsid w:val="0029639D"/>
    <w:pPr>
      <w:numPr>
        <w:numId w:val="6"/>
      </w:numPr>
      <w:contextualSpacing/>
    </w:pPr>
  </w:style>
  <w:style w:type="paragraph" w:styleId="ListNumber3">
    <w:rPr>
      <w:rFonts w:ascii="Arial" w:hAnsi="Arial" w:eastAsia="Arial" w:cs="Arial"/>
      <w:sz w:val="22"/>
      <w:szCs w:val="22"/>
    </w:rPr>
    <w:name w:val="List Number 3"/>
    <w:basedOn w:val="Normal"/>
    <w:uiPriority w:val="99"/>
    <w:unhideWhenUsed/>
    <w:rsid w:val="0029639D"/>
    <w:pPr>
      <w:numPr>
        <w:numId w:val="7"/>
      </w:numPr>
      <w:contextualSpacing/>
    </w:pPr>
  </w:style>
  <w:style w:type="paragraph" w:styleId="ListContinue">
    <w:rPr>
      <w:rFonts w:ascii="Arial" w:hAnsi="Arial" w:eastAsia="Arial" w:cs="Arial"/>
      <w:sz w:val="22"/>
      <w:szCs w:val="22"/>
    </w:rPr>
    <w:name w:val="List Continue"/>
    <w:basedOn w:val="Normal"/>
    <w:uiPriority w:val="99"/>
    <w:unhideWhenUsed/>
    <w:rsid w:val="0029639D"/>
    <w:pPr>
      <w:spacing w:after="120"/>
      <w:ind w:left="360"/>
      <w:contextualSpacing/>
    </w:pPr>
  </w:style>
  <w:style w:type="paragraph" w:styleId="ListContinue2">
    <w:rPr>
      <w:rFonts w:ascii="Arial" w:hAnsi="Arial" w:eastAsia="Arial" w:cs="Arial"/>
      <w:sz w:val="22"/>
      <w:szCs w:val="22"/>
    </w:rPr>
    <w:name w:val="List Continue 2"/>
    <w:basedOn w:val="Normal"/>
    <w:uiPriority w:val="99"/>
    <w:unhideWhenUsed/>
    <w:rsid w:val="0029639D"/>
    <w:pPr>
      <w:spacing w:after="120"/>
      <w:ind w:left="720"/>
      <w:contextualSpacing/>
    </w:pPr>
  </w:style>
  <w:style w:type="paragraph" w:styleId="ListContinue3">
    <w:rPr>
      <w:rFonts w:ascii="Arial" w:hAnsi="Arial" w:eastAsia="Arial" w:cs="Arial"/>
      <w:sz w:val="22"/>
      <w:szCs w:val="22"/>
    </w:rPr>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Arial" w:hAnsi="Arial" w:eastAsia="Arial" w:cs="Arial"/>
      <w:sz w:val="22"/>
      <w:szCs w:val="22"/>
    </w:rPr>
  </w:style>
  <w:style w:type="character" w:customStyle="1" w:styleId="MacroTextChar">
    <w:name w:val="Macro Text Char"/>
    <w:basedOn w:val="DefaultParagraphFont"/>
    <w:link w:val="MacroText"/>
    <w:uiPriority w:val="99"/>
    <w:rsid w:val="0029639D"/>
    <w:rPr>
      <w:rFonts w:ascii="Arial" w:hAnsi="Arial" w:eastAsia="Arial" w:cs="Arial"/>
      <w:sz w:val="22"/>
      <w:szCs w:val="22"/>
    </w:rPr>
  </w:style>
  <w:style w:type="paragraph" w:styleId="Quote">
    <w:name w:val="Quote"/>
    <w:basedOn w:val="Normal"/>
    <w:next w:val="Normal"/>
    <w:link w:val="QuoteChar"/>
    <w:uiPriority w:val="29"/>
    <w:qFormat/>
    <w:rsid w:val="00FC693F"/>
    <w:rPr>
      <w:i/>
      <w:iCs/>
      <w:color w:val="000000" w:themeColor="text1"/>
      <w:rFonts w:ascii="Arial" w:hAnsi="Arial" w:eastAsia="Arial" w:cs="Arial"/>
      <w:sz w:val="22"/>
      <w:szCs w:val="22"/>
    </w:rPr>
  </w:style>
  <w:style w:type="character" w:customStyle="1" w:styleId="QuoteChar">
    <w:name w:val="Quote Char"/>
    <w:basedOn w:val="DefaultParagraphFont"/>
    <w:link w:val="Quote"/>
    <w:uiPriority w:val="29"/>
    <w:rsid w:val="00FC693F"/>
    <w:rPr>
      <w:i/>
      <w:iCs/>
      <w:color w:val="000000" w:themeColor="text1"/>
      <w:rFonts w:ascii="Arial" w:hAnsi="Arial" w:eastAsia="Arial" w:cs="Arial"/>
      <w:sz w:val="22"/>
      <w:szCs w:val="22"/>
    </w:rPr>
  </w:style>
  <w:style w:type="character" w:customStyle="1" w:styleId="Heading4Char">
    <w:name w:val="Heading 4 Char"/>
    <w:basedOn w:val="DefaultParagraphFont"/>
    <w:link w:val="Heading4"/>
    <w:uiPriority w:val="9"/>
    <w:semiHidden/>
    <w:rsid w:val="00FC693F"/>
    <w:rPr>
      <w:b/>
      <w:bCs/>
      <w:i/>
      <w:iCs/>
      <w:color w:val="4F81BD" w:themeColor="accent1"/>
      <w:rFonts w:ascii="Arial" w:hAnsi="Arial" w:eastAsia="Arial" w:cs="Arial"/>
      <w:sz w:val="22"/>
      <w:szCs w:val="22"/>
    </w:rPr>
  </w:style>
  <w:style w:type="character" w:customStyle="1" w:styleId="Heading5Char">
    <w:name w:val="Heading 5 Char"/>
    <w:basedOn w:val="DefaultParagraphFont"/>
    <w:link w:val="Heading5"/>
    <w:uiPriority w:val="9"/>
    <w:semiHidden/>
    <w:rsid w:val="00FC693F"/>
    <w:rPr>
      <w:color w:val="243F60" w:themeColor="accent1" w:themeShade="7F"/>
      <w:rFonts w:ascii="Arial" w:hAnsi="Arial" w:eastAsia="Arial" w:cs="Arial"/>
      <w:sz w:val="22"/>
      <w:szCs w:val="22"/>
    </w:rPr>
  </w:style>
  <w:style w:type="character" w:customStyle="1" w:styleId="Heading6Char">
    <w:name w:val="Heading 6 Char"/>
    <w:basedOn w:val="DefaultParagraphFont"/>
    <w:link w:val="Heading6"/>
    <w:uiPriority w:val="9"/>
    <w:semiHidden/>
    <w:rsid w:val="00FC693F"/>
    <w:rPr>
      <w:i/>
      <w:iCs/>
      <w:color w:val="243F60" w:themeColor="accent1" w:themeShade="7F"/>
      <w:rFonts w:ascii="Arial" w:hAnsi="Arial" w:eastAsia="Arial" w:cs="Arial"/>
      <w:sz w:val="22"/>
      <w:szCs w:val="22"/>
    </w:rPr>
  </w:style>
  <w:style w:type="character" w:customStyle="1" w:styleId="Heading7Char">
    <w:name w:val="Heading 7 Char"/>
    <w:basedOn w:val="DefaultParagraphFont"/>
    <w:link w:val="Heading7"/>
    <w:uiPriority w:val="9"/>
    <w:semiHidden/>
    <w:rsid w:val="00FC693F"/>
    <w:rPr>
      <w:i/>
      <w:iCs/>
      <w:color w:val="404040" w:themeColor="text1" w:themeTint="BF"/>
      <w:rFonts w:ascii="Arial" w:hAnsi="Arial" w:eastAsia="Arial" w:cs="Arial"/>
      <w:sz w:val="22"/>
      <w:szCs w:val="22"/>
    </w:rPr>
  </w:style>
  <w:style w:type="character" w:customStyle="1" w:styleId="Heading8Char">
    <w:name w:val="Heading 8 Char"/>
    <w:basedOn w:val="DefaultParagraphFont"/>
    <w:link w:val="Heading8"/>
    <w:uiPriority w:val="9"/>
    <w:semiHidden/>
    <w:rsid w:val="00FC693F"/>
    <w:rPr>
      <w:color w:val="4F81BD" w:themeColor="accent1"/>
      <w:rFonts w:ascii="Arial" w:hAnsi="Arial" w:eastAsia="Arial" w:cs="Arial"/>
      <w:sz w:val="22"/>
      <w:szCs w:val="22"/>
    </w:rPr>
  </w:style>
  <w:style w:type="character" w:customStyle="1" w:styleId="Heading9Char">
    <w:name w:val="Heading 9 Char"/>
    <w:basedOn w:val="DefaultParagraphFont"/>
    <w:link w:val="Heading9"/>
    <w:uiPriority w:val="9"/>
    <w:semiHidden/>
    <w:rsid w:val="00FC693F"/>
    <w:rPr>
      <w:i/>
      <w:iCs/>
      <w:color w:val="404040" w:themeColor="text1" w:themeTint="BF"/>
      <w:rFonts w:ascii="Arial" w:hAnsi="Arial" w:eastAsia="Arial" w:cs="Arial"/>
      <w:sz w:val="22"/>
      <w:szCs w:val="22"/>
    </w:rPr>
  </w:style>
  <w:style w:type="paragraph" w:styleId="Caption">
    <w:name w:val="caption"/>
    <w:basedOn w:val="Normal"/>
    <w:next w:val="Normal"/>
    <w:uiPriority w:val="35"/>
    <w:semiHidden/>
    <w:unhideWhenUsed/>
    <w:qFormat/>
    <w:rsid w:val="00FC693F"/>
    <w:pPr>
      <w:spacing w:line="240" w:lineRule="auto"/>
    </w:pPr>
    <w:rPr>
      <w:b/>
      <w:bCs/>
      <w:color w:val="4F81BD" w:themeColor="accent1"/>
      <w:rFonts w:ascii="Arial" w:hAnsi="Arial" w:eastAsia="Arial" w:cs="Arial"/>
      <w:sz w:val="22"/>
      <w:szCs w:val="22"/>
    </w:rPr>
  </w:style>
  <w:style w:type="character" w:styleId="Strong">
    <w:name w:val="Strong"/>
    <w:basedOn w:val="DefaultParagraphFont"/>
    <w:uiPriority w:val="22"/>
    <w:qFormat/>
    <w:rsid w:val="00FC693F"/>
    <w:rPr>
      <w:b/>
      <w:bCs/>
      <w:rFonts w:ascii="Arial" w:hAnsi="Arial" w:eastAsia="Arial" w:cs="Arial"/>
      <w:sz w:val="22"/>
      <w:szCs w:val="22"/>
    </w:rPr>
  </w:style>
  <w:style w:type="character" w:styleId="Emphasis">
    <w:name w:val="Emphasis"/>
    <w:basedOn w:val="DefaultParagraphFont"/>
    <w:uiPriority w:val="20"/>
    <w:qFormat/>
    <w:rsid w:val="00FC693F"/>
    <w:rPr>
      <w:i/>
      <w:iCs/>
      <w:rFonts w:ascii="Arial" w:hAnsi="Arial" w:eastAsia="Arial" w:cs="Arial"/>
      <w:sz w:val="22"/>
      <w:szCs w:val="22"/>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Fonts w:ascii="Arial" w:hAnsi="Arial" w:eastAsia="Arial" w:cs="Arial"/>
      <w:sz w:val="22"/>
      <w:szCs w:val="22"/>
    </w:rPr>
  </w:style>
  <w:style w:type="character" w:customStyle="1" w:styleId="IntenseQuoteChar">
    <w:name w:val="Intense Quote Char"/>
    <w:basedOn w:val="DefaultParagraphFont"/>
    <w:link w:val="IntenseQuote"/>
    <w:uiPriority w:val="30"/>
    <w:rsid w:val="00FC693F"/>
    <w:rPr>
      <w:b/>
      <w:bCs/>
      <w:i/>
      <w:iCs/>
      <w:color w:val="4F81BD" w:themeColor="accent1"/>
      <w:rFonts w:ascii="Arial" w:hAnsi="Arial" w:eastAsia="Arial" w:cs="Arial"/>
      <w:sz w:val="22"/>
      <w:szCs w:val="22"/>
    </w:rPr>
  </w:style>
  <w:style w:type="character" w:styleId="SubtleEmphasis">
    <w:name w:val="Subtle Emphasis"/>
    <w:basedOn w:val="DefaultParagraphFont"/>
    <w:uiPriority w:val="19"/>
    <w:qFormat/>
    <w:rsid w:val="00FC693F"/>
    <w:rPr>
      <w:i/>
      <w:iCs/>
      <w:color w:val="808080" w:themeColor="text1" w:themeTint="7F"/>
      <w:rFonts w:ascii="Arial" w:hAnsi="Arial" w:eastAsia="Arial" w:cs="Arial"/>
      <w:sz w:val="22"/>
      <w:szCs w:val="22"/>
    </w:rPr>
  </w:style>
  <w:style w:type="character" w:styleId="IntenseEmphasis">
    <w:name w:val="Intense Emphasis"/>
    <w:basedOn w:val="DefaultParagraphFont"/>
    <w:uiPriority w:val="21"/>
    <w:qFormat/>
    <w:rsid w:val="00FC693F"/>
    <w:rPr>
      <w:b/>
      <w:bCs/>
      <w:i/>
      <w:iCs/>
      <w:color w:val="4F81BD" w:themeColor="accent1"/>
      <w:rFonts w:ascii="Arial" w:hAnsi="Arial" w:eastAsia="Arial" w:cs="Arial"/>
      <w:sz w:val="22"/>
      <w:szCs w:val="22"/>
    </w:rPr>
  </w:style>
  <w:style w:type="character" w:styleId="SubtleReference">
    <w:name w:val="Subtle Reference"/>
    <w:basedOn w:val="DefaultParagraphFont"/>
    <w:uiPriority w:val="31"/>
    <w:qFormat/>
    <w:rsid w:val="00FC693F"/>
    <w:rPr>
      <w:smallCaps/>
      <w:color w:val="C0504D" w:themeColor="accent2"/>
      <w:u w:val="single"/>
      <w:rFonts w:ascii="Arial" w:hAnsi="Arial" w:eastAsia="Arial" w:cs="Arial"/>
      <w:sz w:val="22"/>
      <w:szCs w:val="22"/>
    </w:rPr>
  </w:style>
  <w:style w:type="character" w:styleId="IntenseReference">
    <w:name w:val="Intense Reference"/>
    <w:basedOn w:val="DefaultParagraphFont"/>
    <w:uiPriority w:val="32"/>
    <w:qFormat/>
    <w:rsid w:val="00FC693F"/>
    <w:rPr>
      <w:b/>
      <w:bCs/>
      <w:smallCaps/>
      <w:color w:val="C0504D" w:themeColor="accent2"/>
      <w:spacing w:val="5"/>
      <w:u w:val="single"/>
      <w:rFonts w:ascii="Arial" w:hAnsi="Arial" w:eastAsia="Arial" w:cs="Arial"/>
      <w:sz w:val="22"/>
      <w:szCs w:val="22"/>
    </w:rPr>
  </w:style>
  <w:style w:type="character" w:styleId="BookTitle">
    <w:name w:val="Book Title"/>
    <w:basedOn w:val="DefaultParagraphFont"/>
    <w:uiPriority w:val="33"/>
    <w:qFormat/>
    <w:rsid w:val="00FC693F"/>
    <w:rPr>
      <w:b/>
      <w:bCs/>
      <w:smallCaps/>
      <w:spacing w:val="5"/>
      <w:rFonts w:ascii="Arial" w:hAnsi="Arial" w:eastAsia="Arial" w:cs="Arial"/>
      <w:sz w:val="22"/>
      <w:szCs w:val="22"/>
    </w:rPr>
  </w:style>
  <w:style w:type="paragraph" w:styleId="TOCHeading">
    <w:rPr>
      <w:rFonts w:ascii="Arial" w:hAnsi="Arial" w:eastAsia="Arial" w:cs="Arial"/>
      <w:sz w:val="22"/>
      <w:szCs w:val="22"/>
    </w:rPr>
    <w:name w:val="TOC Heading"/>
    <w:basedOn w:val="Heading1"/>
    <w:next w:val="Normal"/>
    <w:uiPriority w:val="39"/>
    <w:semiHidden/>
    <w:unhideWhenUsed/>
    <w:qFormat/>
    <w:rsid w:val="00FC693F"/>
    <w:pPr>
      <w:outlineLvl w:val="9"/>
    </w:pPr>
  </w:style>
  <w:style w:type="table" w:styleId="TableGrid">
    <w:rPr>
      <w:rFonts w:ascii="Arial" w:hAnsi="Arial" w:eastAsia="Arial" w:cs="Arial"/>
      <w:sz w:val="22"/>
      <w:szCs w:val="22"/>
    </w:rPr>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rPr>
      <w:rFonts w:ascii="Arial" w:hAnsi="Arial" w:eastAsia="Arial" w:cs="Arial"/>
      <w:sz w:val="22"/>
      <w:szCs w:val="22"/>
    </w:rPr>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rPr>
      <w:rFonts w:ascii="Arial" w:hAnsi="Arial" w:eastAsia="Arial" w:cs="Arial"/>
      <w:sz w:val="22"/>
      <w:szCs w:val="22"/>
    </w:rPr>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rPr>
      <w:rFonts w:ascii="Arial" w:hAnsi="Arial" w:eastAsia="Arial" w:cs="Arial"/>
      <w:sz w:val="22"/>
      <w:szCs w:val="22"/>
    </w:rPr>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rPr>
      <w:rFonts w:ascii="Arial" w:hAnsi="Arial" w:eastAsia="Arial" w:cs="Arial"/>
      <w:sz w:val="22"/>
      <w:szCs w:val="22"/>
    </w:rPr>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rPr>
      <w:rFonts w:ascii="Arial" w:hAnsi="Arial" w:eastAsia="Arial" w:cs="Arial"/>
      <w:sz w:val="22"/>
      <w:szCs w:val="22"/>
    </w:rPr>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rPr>
      <w:rFonts w:ascii="Arial" w:hAnsi="Arial" w:eastAsia="Arial" w:cs="Arial"/>
      <w:sz w:val="22"/>
      <w:szCs w:val="22"/>
    </w:rPr>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rPr>
      <w:rFonts w:ascii="Arial" w:hAnsi="Arial" w:eastAsia="Arial" w:cs="Arial"/>
      <w:sz w:val="22"/>
      <w:szCs w:val="22"/>
    </w:rPr>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rPr>
      <w:rFonts w:ascii="Arial" w:hAnsi="Arial" w:eastAsia="Arial" w:cs="Arial"/>
      <w:sz w:val="22"/>
      <w:szCs w:val="22"/>
    </w:rPr>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rPr>
      <w:rFonts w:ascii="Arial" w:hAnsi="Arial" w:eastAsia="Arial" w:cs="Arial"/>
      <w:sz w:val="22"/>
      <w:szCs w:val="22"/>
    </w:rPr>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rPr>
      <w:rFonts w:ascii="Arial" w:hAnsi="Arial" w:eastAsia="Arial" w:cs="Arial"/>
      <w:sz w:val="22"/>
      <w:szCs w:val="22"/>
    </w:rPr>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rPr>
      <w:rFonts w:ascii="Arial" w:hAnsi="Arial" w:eastAsia="Arial" w:cs="Arial"/>
      <w:sz w:val="22"/>
      <w:szCs w:val="22"/>
    </w:rPr>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rPr>
      <w:rFonts w:ascii="Arial" w:hAnsi="Arial" w:eastAsia="Arial" w:cs="Arial"/>
      <w:sz w:val="22"/>
      <w:szCs w:val="22"/>
    </w:rPr>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rPr>
      <w:rFonts w:ascii="Arial" w:hAnsi="Arial" w:eastAsia="Arial" w:cs="Arial"/>
      <w:sz w:val="22"/>
      <w:szCs w:val="22"/>
    </w:rPr>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rPr>
      <w:rFonts w:ascii="Arial" w:hAnsi="Arial" w:eastAsia="Arial" w:cs="Arial"/>
      <w:sz w:val="22"/>
      <w:szCs w:val="22"/>
    </w:rPr>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rPr>
      <w:rFonts w:ascii="Arial" w:hAnsi="Arial" w:eastAsia="Arial" w:cs="Arial"/>
      <w:sz w:val="22"/>
      <w:szCs w:val="22"/>
    </w:rPr>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rPr>
      <w:rFonts w:ascii="Arial" w:hAnsi="Arial" w:eastAsia="Arial" w:cs="Arial"/>
      <w:sz w:val="22"/>
      <w:szCs w:val="22"/>
    </w:rPr>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rPr>
      <w:rFonts w:ascii="Arial" w:hAnsi="Arial" w:eastAsia="Arial" w:cs="Arial"/>
      <w:sz w:val="22"/>
      <w:szCs w:val="22"/>
    </w:rPr>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rPr>
      <w:rFonts w:ascii="Arial" w:hAnsi="Arial" w:eastAsia="Arial" w:cs="Arial"/>
      <w:sz w:val="22"/>
      <w:szCs w:val="22"/>
    </w:rPr>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rPr>
      <w:rFonts w:ascii="Arial" w:hAnsi="Arial" w:eastAsia="Arial" w:cs="Arial"/>
      <w:sz w:val="22"/>
      <w:szCs w:val="22"/>
    </w:rPr>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rPr>
      <w:rFonts w:ascii="Arial" w:hAnsi="Arial" w:eastAsia="Arial" w:cs="Arial"/>
      <w:sz w:val="22"/>
      <w:szCs w:val="22"/>
    </w:rPr>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rPr>
      <w:rFonts w:ascii="Arial" w:hAnsi="Arial" w:eastAsia="Arial" w:cs="Arial"/>
      <w:sz w:val="22"/>
      <w:szCs w:val="22"/>
    </w:rPr>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rPr>
      <w:rFonts w:ascii="Arial" w:hAnsi="Arial" w:eastAsia="Arial" w:cs="Arial"/>
      <w:sz w:val="22"/>
      <w:szCs w:val="22"/>
    </w:rPr>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rPr>
      <w:rFonts w:ascii="Arial" w:hAnsi="Arial" w:eastAsia="Arial" w:cs="Arial"/>
      <w:sz w:val="22"/>
      <w:szCs w:val="22"/>
    </w:rPr>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rPr>
      <w:rFonts w:ascii="Arial" w:hAnsi="Arial" w:eastAsia="Arial" w:cs="Arial"/>
      <w:sz w:val="22"/>
      <w:szCs w:val="22"/>
    </w:rPr>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rPr>
      <w:rFonts w:ascii="Arial" w:hAnsi="Arial" w:eastAsia="Arial" w:cs="Arial"/>
      <w:sz w:val="22"/>
      <w:szCs w:val="22"/>
    </w:rPr>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rPr>
      <w:rFonts w:ascii="Arial" w:hAnsi="Arial" w:eastAsia="Arial" w:cs="Arial"/>
      <w:sz w:val="22"/>
      <w:szCs w:val="22"/>
    </w:rPr>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rPr>
      <w:rFonts w:ascii="Arial" w:hAnsi="Arial" w:eastAsia="Arial" w:cs="Arial"/>
      <w:sz w:val="22"/>
      <w:szCs w:val="22"/>
    </w:rPr>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rPr>
      <w:rFonts w:ascii="Arial" w:hAnsi="Arial" w:eastAsia="Arial" w:cs="Arial"/>
      <w:sz w:val="22"/>
      <w:szCs w:val="22"/>
    </w:rPr>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rPr>
      <w:rFonts w:ascii="Arial" w:hAnsi="Arial" w:eastAsia="Arial" w:cs="Arial"/>
      <w:sz w:val="22"/>
      <w:szCs w:val="22"/>
    </w:rPr>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rPr>
      <w:rFonts w:ascii="Arial" w:hAnsi="Arial" w:eastAsia="Arial" w:cs="Arial"/>
      <w:sz w:val="22"/>
      <w:szCs w:val="22"/>
    </w:rPr>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rPr>
      <w:rFonts w:ascii="Arial" w:hAnsi="Arial" w:eastAsia="Arial" w:cs="Arial"/>
      <w:sz w:val="22"/>
      <w:szCs w:val="22"/>
    </w:rPr>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rPr>
      <w:rFonts w:ascii="Arial" w:hAnsi="Arial" w:eastAsia="Arial" w:cs="Arial"/>
      <w:sz w:val="22"/>
      <w:szCs w:val="22"/>
    </w:rPr>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rPr>
      <w:rFonts w:ascii="Arial" w:hAnsi="Arial" w:eastAsia="Arial" w:cs="Arial"/>
      <w:sz w:val="22"/>
      <w:szCs w:val="22"/>
    </w:rPr>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rPr>
      <w:rFonts w:ascii="Arial" w:hAnsi="Arial" w:eastAsia="Arial" w:cs="Arial"/>
      <w:sz w:val="22"/>
      <w:szCs w:val="22"/>
    </w:rPr>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rPr>
      <w:rFonts w:ascii="Arial" w:hAnsi="Arial" w:eastAsia="Arial" w:cs="Arial"/>
      <w:sz w:val="22"/>
      <w:szCs w:val="22"/>
    </w:rPr>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rPr>
      <w:rFonts w:ascii="Arial" w:hAnsi="Arial" w:eastAsia="Arial" w:cs="Arial"/>
      <w:sz w:val="22"/>
      <w:szCs w:val="22"/>
    </w:rPr>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rPr>
      <w:rFonts w:ascii="Arial" w:hAnsi="Arial" w:eastAsia="Arial" w:cs="Arial"/>
      <w:sz w:val="22"/>
      <w:szCs w:val="22"/>
    </w:rPr>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rPr>
      <w:rFonts w:ascii="Arial" w:hAnsi="Arial" w:eastAsia="Arial" w:cs="Arial"/>
      <w:sz w:val="22"/>
      <w:szCs w:val="22"/>
    </w:rPr>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rPr>
      <w:rFonts w:ascii="Arial" w:hAnsi="Arial" w:eastAsia="Arial" w:cs="Arial"/>
      <w:sz w:val="22"/>
      <w:szCs w:val="22"/>
    </w:rPr>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rPr>
      <w:rFonts w:ascii="Arial" w:hAnsi="Arial" w:eastAsia="Arial" w:cs="Arial"/>
      <w:sz w:val="22"/>
      <w:szCs w:val="22"/>
    </w:rPr>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rPr>
      <w:rFonts w:ascii="Arial" w:hAnsi="Arial" w:eastAsia="Arial" w:cs="Arial"/>
      <w:sz w:val="22"/>
      <w:szCs w:val="22"/>
    </w:rPr>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rPr>
      <w:rFonts w:ascii="Arial" w:hAnsi="Arial" w:eastAsia="Arial" w:cs="Arial"/>
      <w:sz w:val="22"/>
      <w:szCs w:val="22"/>
    </w:rPr>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Fonts w:ascii="Arial" w:hAnsi="Arial" w:eastAsia="Arial" w:cs="Arial"/>
      <w:sz w:val="22"/>
      <w:szCs w:val="22"/>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eader" Target="header2.xml"/><Relationship Id="rId12" Type="http://schemas.openxmlformats.org/officeDocument/2006/relationships/footer" Target="footer2.xml"/><Relationship Id="rId13" Type="http://schemas.openxmlformats.org/officeDocument/2006/relationships/header" Target="header3.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Application>Microsoft Macintosh Word</Application>
  <DocSecurity>0</DocSecurity>
  <ScaleCrop>false</ScaleCrop>
  <Manager/>
  <Company/>
  <LinksUpToDate>false</LinksUpToDate>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Part 2 Glossary - Issue 1</dc:title>
  <dc:subject>P2-2A2B-SD02-GLOSSARY; final Part 2 support release; ten-paper Issue 1 baseline</dc:subject>
  <dc:creator>OpenAI</dc:creator>
  <cp:keywords>General Organisation Theory; Volume 1; Part 2; Issue 1; P2-2A2B-SD02-GLOSSARY</cp:keywords>
  <dc:description>Final Issue 1 support; secondary to canonical papers. Exact paper and support SHA-256 locks are recorded in Part_2_Issue_1_Support_Manifest.json. Historical source records and explicit scholarly limits are retained.</dc:description>
  <cp:lastModifiedBy/>
  <cp:revision>2</cp:revision>
  <dcterms:created xsi:type="dcterms:W3CDTF">2013-12-23T23:15:00Z</dcterms:created>
  <dcterms:modified xsi:type="dcterms:W3CDTF">2026-09-23T14:00:00Z</dcterms:modified>
  <cp:category>Issue 1 support release</cp:category>
  <cp:contentStatus>Issue 1</cp:contentStatus>
  <cp:version>Issue 1</cp:version>
</cp:coreProperties>
</file>